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обработки персональных данных SportSearch</w:t>
      </w:r>
    </w:p>
    <w:p>
      <w:r>
        <w:t xml:space="preserve">Проект от 7 сентября 2026 года. Версия PRIVACY-2026-09-07. Дата вступления в силу: </w:t>
      </w:r>
      <w:r>
        <w:rPr>
          <w:highlight w:val="yellow"/>
        </w:rPr>
        <w:t>[[ДАТА ВВЕДЕНИЯ]]</w:t>
      </w:r>
      <w:r>
        <w:t>. До публикации заполнить поля и подтвердить фактические процессы по документу 00.</w:t>
      </w:r>
    </w:p>
    <w:p>
      <w:r>
        <w:t>Политика объясняет, какие данные используются для бесплатного спортивного поиска, кто получает к ним доступ и как воспользоваться правами на исправление, прекращение обработки и удаление. Она распространяется на сайт и доступные приложения SportSearch, включая гостевой просмотр.</w:t>
      </w:r>
    </w:p>
    <w:p>
      <w:pPr>
        <w:pStyle w:val="Heading1"/>
      </w:pPr>
      <w:r>
        <w:t>1 Оператор и контакты</w:t>
      </w:r>
    </w:p>
    <w:p>
      <w:r>
        <w:t xml:space="preserve">Оператор — Захаров Матвей Владимирович, физическое лицо на специальном налоговом режиме «Налог на профессиональный доход», ИНН 471803649801. Место жительства или пребывания и адрес для обращений: </w:t>
      </w:r>
      <w:r>
        <w:rPr>
          <w:highlight w:val="yellow"/>
        </w:rPr>
        <w:t>[[АДРЕС ОПЕРАТОРА]]</w:t>
      </w:r>
      <w:r>
        <w:t xml:space="preserve">. Электронная почта: support@sportsearch.shop. Официальный сайт: </w:t>
      </w:r>
      <w:hyperlink r:id="rId11">
        <w:r>
          <w:rPr>
            <w:color w:val="1F4D70"/>
            <w:u w:val="single"/>
          </w:rPr>
          <w:t>https://sportsearch.shop</w:t>
        </w:r>
      </w:hyperlink>
      <w:r>
        <w:t>.</w:t>
      </w:r>
    </w:p>
    <w:p>
      <w:r>
        <w:t xml:space="preserve">Политика размещается в открытом доступе по адресу </w:t>
      </w:r>
      <w:hyperlink r:id="rId12">
        <w:r>
          <w:rPr>
            <w:color w:val="1F4D70"/>
            <w:u w:val="single"/>
          </w:rPr>
          <w:t>https://sportsearch.shop/legal/privacy</w:t>
        </w:r>
      </w:hyperlink>
      <w:r>
        <w:t>.</w:t>
      </w:r>
      <w:r>
        <w:t xml:space="preserve"> Сведения об уведомлении Роскомнадзора: </w:t>
      </w:r>
      <w:r>
        <w:rPr>
          <w:highlight w:val="yellow"/>
        </w:rPr>
        <w:t>[[РЕЕСТР ПД СТАТУС И НОМЕР]]</w:t>
      </w:r>
      <w:r>
        <w:t>. Указание в реестре не означает одобрения Роскомнадзором всех функций сервиса.</w:t>
      </w:r>
    </w:p>
    <w:p>
      <w:pPr>
        <w:pStyle w:val="Heading1"/>
      </w:pPr>
      <w:r>
        <w:t>2 Категории лиц и источники данных</w:t>
      </w:r>
    </w:p>
    <w:p>
      <w:r>
        <w:t>Обрабатываются данные посетителей сайта, зарегистрированных пользователей от 18 лет, участников игровых договорённостей, заявителей и лиц, чьи сведения содержатся в правомерно направленных обращениях.</w:t>
      </w:r>
    </w:p>
    <w:p>
      <w:r>
        <w:t>Основной источник — сам пользователь. Технические сведения поступают от его устройства при использовании функций. Действия других участников могут создавать сведения о приглашениях, сообщениях, договорённостях и жалобах. Внешние технические поставщики перечисляются в разделе 7. Источник и объём данных от каждого поставщика ограничиваются назначением функции.</w:t>
      </w:r>
    </w:p>
    <w:p>
      <w:r>
        <w:t>Сервис не предназначен для лиц младше 18 лет. При подтверждении такого использования оператор ограничивает аккаунт и решает вопрос удаления с учётом законных оснований сохранения отдельных сведений.</w:t>
      </w:r>
    </w:p>
    <w:p>
      <w:pPr>
        <w:pStyle w:val="Heading1"/>
      </w:pPr>
      <w:r>
        <w:t>3 Цели данные и правовые основания</w:t>
      </w:r>
    </w:p>
    <w:p>
      <w:pPr>
        <w:pStyle w:val="Heading2"/>
      </w:pPr>
      <w:r>
        <w:t>Аккаунт и исполнение пользовательского договора</w:t>
      </w:r>
    </w:p>
    <w:p>
      <w:r>
        <w:t>Цель — создать аккаунт, обеспечить вход, сохранить выбранные параметры и предоставить запрошенные пользователем функции. Используются email, внутренний идентификатор, сведения о подтверждении входа, сеансах и принятии соглашения, а при правомерном использовании соответствующего способа входа — полученный от поставщика идентификатор аккаунта. Для профиля и поиска используются имя для отображения, возраст, пол, если он указан пользователем и используется в выбранной функции, выбранные виды спорта и уровни, город, районы, предпочтения по формату и покрытию, доступность и статус поиска игры.</w:t>
      </w:r>
    </w:p>
    <w:p>
      <w:r>
        <w:t>Основание — заключение и исполнение договора по инициативе пользователя, пункт 5 части 1 статьи 6 закона № 152-ФЗ. Обрабатываются только сведения, необходимые для соответствующей функции. Необязательные сведения отделяются от необходимых; публикация данных регулируется отдельно.</w:t>
      </w:r>
    </w:p>
    <w:p>
      <w:pPr>
        <w:pStyle w:val="Heading2"/>
      </w:pPr>
      <w:r>
        <w:t>Игровые сценарии общение и сервисные уведомления</w:t>
      </w:r>
    </w:p>
    <w:p>
      <w:r>
        <w:t>Цель — передать выбранным участникам сообщения, приглашения и ответы, согласовать место и время игры, отобразить историю договорённостей и уведомить об изменениях. Используются идентификаторы участников, сообщения и вложения, параметры игры, слоты, площадки, статусы, даты действий, настройки уведомлений и push-токен устройства, если пользователь подключает push.</w:t>
      </w:r>
    </w:p>
    <w:p>
      <w:r>
        <w:t>Основание — исполнение запрошенной пользователем функции по договору. Материалы и сообщения не используются для рекламного таргетинга. Получатели определяются конкретным чатом или игровым сценарием; показ сведений неопределённому кругу лиц требует отдельного основания распространения.</w:t>
      </w:r>
    </w:p>
    <w:p>
      <w:pPr>
        <w:pStyle w:val="Heading2"/>
      </w:pPr>
      <w:r>
        <w:t>Необязательное оформление профиля и геопозиция</w:t>
      </w:r>
    </w:p>
    <w:p>
      <w:r>
        <w:t>Цель — оформить профиль по желанию пользователя и определить город по геопозиции при отдельном запросе. Обрабатываются добровольно добавленные описание, фото и видео. Для определения города сервер получает широту и долготу, в том числе от посетителя без аккаунта. Для подбора игроков используются выбранный город, район и соответствующие расчётные координаты; это не означает сохранения точной GPS-точки как координат профиля. Основание для необязательного оформления и запроса геопозиции — отдельные согласия. Можно выбрать город и район вручную без передачи геопозиции устройства.</w:t>
      </w:r>
    </w:p>
    <w:p>
      <w:r>
        <w:t xml:space="preserve">Состав технических записей запроса геопозиции, возможная связь с идентификаторами и срок хранения: </w:t>
      </w:r>
      <w:r>
        <w:rPr>
          <w:highlight w:val="yellow"/>
        </w:rPr>
        <w:t>[[ГЕОЗАПРОСЫ ЛОГИ СРОКИ]]</w:t>
      </w:r>
      <w:r>
        <w:t xml:space="preserve">. Дополнительные клиентские функции определения близости площадок раскрываются по фактическому потоку данных: </w:t>
      </w:r>
      <w:r>
        <w:rPr>
          <w:highlight w:val="yellow"/>
        </w:rPr>
        <w:t>[[КЛИЕНТСКИЕ ГЕОСЦЕНАРИИ И ПЕРЕДАЧИ]]</w:t>
      </w:r>
      <w:r>
        <w:t>. Неиспользуемые сценарии исключаются до публикации.</w:t>
      </w:r>
    </w:p>
    <w:p>
      <w:r>
        <w:t>Разрешение операционной системы на геопозицию даёт технический доступ устройству и само по себе не заменяет надлежащее оформление согласия оператору. Точные координаты устройства не входят в перечень данных, разрешённых к открытому показу.</w:t>
      </w:r>
    </w:p>
    <w:p>
      <w:pPr>
        <w:pStyle w:val="Heading2"/>
      </w:pPr>
      <w:r>
        <w:t>Рекомендации</w:t>
      </w:r>
    </w:p>
    <w:p>
      <w:r>
        <w:t xml:space="preserve">Цель — подобрать и упорядочить доступные анкеты в рамках запрошенного спортивного поиска. Используются параметры поиска и профиля, сведения о выбранных районах, времени игры, действиях интереса, показах анкет и активности в пределах описанных правил. Основание — исполнение договора в необходимой для персонализированного поиска части. Подробности, источники и способы управления: </w:t>
      </w:r>
      <w:r>
        <w:rPr>
          <w:highlight w:val="yellow"/>
        </w:rPr>
        <w:t>[[URL РЕКОМЕНДАЦИЙ]]</w:t>
      </w:r>
      <w:r>
        <w:t>.</w:t>
      </w:r>
    </w:p>
    <w:p>
      <w:pPr>
        <w:pStyle w:val="Heading2"/>
      </w:pPr>
      <w:r>
        <w:t>Необязательная продуктовая аналитика</w:t>
      </w:r>
    </w:p>
    <w:p>
      <w:r>
        <w:t>Цель — оценить использование экранов и действий, находить затруднения и улучшать продукт. С отдельного согласия могут обрабатываться связанный с аккаунтом журнал посещения экранов и действий, время событий, тип клиента и технические параметры событий. Аналитика улучшения продукта отделяется от сведений, необходимых для предоставления игры, рекомендаций, безопасности и выполнения закона. Отказ от необязательной аналитики не блокирует основные функции.</w:t>
      </w:r>
    </w:p>
    <w:p>
      <w:pPr>
        <w:pStyle w:val="Heading2"/>
      </w:pPr>
      <w:r>
        <w:t>Поддержка безопасность и защита прав</w:t>
      </w:r>
    </w:p>
    <w:p>
      <w:r>
        <w:t>Цель — отвечать на обращения, проверять жалобы, предупреждать злоупотребления, защищать доступ и подтверждать выполнение закона. Обрабатываются контакт заявителя, содержание обращения, относящиеся к нему материалы и снимки спорного контента, сведения о принятых решениях, записи согласий и необходимые технические журналы, включая IP-адрес и user-agent.</w:t>
      </w:r>
    </w:p>
    <w:p>
      <w:r>
        <w:t>Основание — исполнение договора, выполнение конкретных обязанностей по закону либо осуществление прав и законных интересов оператора и других лиц при соблюдении прав субъекта. Для каждого случая сохраняются только необходимые данные; наличие спора не является основанием бессрочно хранить весь аккаунт.</w:t>
      </w:r>
    </w:p>
    <w:p>
      <w:pPr>
        <w:pStyle w:val="Heading1"/>
      </w:pPr>
      <w:r>
        <w:t>4 Способы и ограничения обработки</w:t>
      </w:r>
    </w:p>
    <w:p>
      <w:r>
        <w:t>Применяются автоматизированная обработка и обработка без средств автоматизации при разборе обращений: сбор, запись, систематизация, накопление, хранение, уточнение, извлечение, использование, предоставление предусмотренным получателям, блокирование, удаление и уничтожение. Распространение выполняется только в пределах отдельного согласия или иного прямо предусмотренного законом основания.</w:t>
      </w:r>
    </w:p>
    <w:p>
      <w:r>
        <w:t>Оператор не запрашивает медицинские сведения, религиозные или политические убеждения и иные специальные категории данных для спортивного поиска. Не следует включать их в описание профиля и обращения без необходимости. При получении таких сведений оператор отдельно проверяет правовое основание и ограничивает обработку.</w:t>
      </w:r>
    </w:p>
    <w:p>
      <w:r>
        <w:t>Фото и видео не используются оператором для установления личности по биометрическим характеристикам. Эта политика не разрешает внедрение биометрической идентификации без отдельной правовой оценки.</w:t>
      </w:r>
    </w:p>
    <w:p>
      <w:pPr>
        <w:pStyle w:val="Heading1"/>
      </w:pPr>
      <w:r>
        <w:t>5 Видимость анкеты карты и переписки</w:t>
      </w:r>
    </w:p>
    <w:p>
      <w:r>
        <w:t>Анкеты могут показываться зарегистрированным пользователям и гостям без входа, если пользователь отдельно разрешил соответствующие данные и аудиторию. Состав разрешённых полей и условия фиксируются в согласии на распространение. Email, полное имя из формы согласия, IP-адреса, push-токены, точные координаты и частная переписка не включаются в открытый профиль.</w:t>
      </w:r>
    </w:p>
    <w:p>
      <w:r>
        <w:t>На карте используются условные точки города или района. Они не обозначают местонахождение человека в реальном времени и его домашний адрес. Отказ от показа на карте отключает этот способ отображения, но сам по себе не прекращает показ анкеты и текстового района в поиске.</w:t>
      </w:r>
    </w:p>
    <w:p>
      <w:r>
        <w:t>Закрытый чат доступен его участникам и уполномоченным лицам оператора в необходимом объёме. Удаление аккаунта не означает автоматического изъятия копий, которые получатели ранее правомерно сохранили самостоятельно. Это не отменяет обязанности оператора прекратить подконтрольное ему распространение и обработать требование пользователя.</w:t>
      </w:r>
    </w:p>
    <w:p>
      <w:r>
        <w:t>Условия и запреты пользователя на обработку распространённых данных публикуются в предусмотренный законом срок рядом с такими сведениями или через доступную ссылку. Отзыв прекращает действие согласия с момента получения оператором требования.</w:t>
      </w:r>
    </w:p>
    <w:p>
      <w:pPr>
        <w:pStyle w:val="Heading1"/>
      </w:pPr>
      <w:r>
        <w:t>6 Техническое хранение на устройстве</w:t>
      </w:r>
    </w:p>
    <w:p>
      <w:r>
        <w:t>Для входа и работы интерфейса используются необходимые файлы cookie и локальные хранилища браузера или приложения. Они могут содержать идентификатор сеанса, выбранные настройки и техническое состояние интерфейса. Удаление необходимых записей может завершить сеанс или сбросить настройки.</w:t>
      </w:r>
    </w:p>
    <w:p>
      <w:r>
        <w:t xml:space="preserve">Инвентаризация фактически используемых записей, их назначения и срока: </w:t>
      </w:r>
      <w:r>
        <w:rPr>
          <w:highlight w:val="yellow"/>
        </w:rPr>
        <w:t>[[ПЕРЕЧЕНЬ COOKIE И ЛОКАЛЬНОГО ХРАНЕНИЯ]]</w:t>
      </w:r>
      <w:r>
        <w:t>. Необязательные аналитические записи создаются после отдельного согласия. Рекламные идентификаторы и рекламные системы в рамках этой редакции не используются.</w:t>
      </w:r>
    </w:p>
    <w:p>
      <w:pPr>
        <w:pStyle w:val="Heading1"/>
      </w:pPr>
      <w:r>
        <w:t>7 Поставщики локализация и передача</w:t>
      </w:r>
    </w:p>
    <w:p>
      <w:r>
        <w:t xml:space="preserve">При сборе персональных данных граждан РФ оператор обеспечивает соблюдение требований части 5 статьи 18 закона № 152-ФЗ к базам данных на территории РФ. Фактическое размещение основной базы: </w:t>
      </w:r>
      <w:r>
        <w:rPr>
          <w:highlight w:val="yellow"/>
        </w:rPr>
        <w:t>[[ОСНОВНАЯ БАЗА ПОСТАВЩИК АДРЕС ЦОД РФ]]</w:t>
      </w:r>
      <w:r>
        <w:t xml:space="preserve">. Хранилище медиа: </w:t>
      </w:r>
      <w:r>
        <w:rPr>
          <w:highlight w:val="yellow"/>
        </w:rPr>
        <w:t>[[МЕДИА ПОСТАВЩИК СТРАНА ЦОД]]</w:t>
      </w:r>
      <w:r>
        <w:t xml:space="preserve">. Резервные копии: </w:t>
      </w:r>
      <w:r>
        <w:rPr>
          <w:highlight w:val="yellow"/>
        </w:rPr>
        <w:t>[[БЭКАПЫ ПОСТАВЩИК СТРАНА ЦОД]]</w:t>
      </w:r>
      <w:r>
        <w:t>.</w:t>
      </w:r>
    </w:p>
    <w:p>
      <w:r>
        <w:t>До публикации заполняется полный перечень фактически подключённых получателей. Поддержка поставщика в коде не означает, что он используется в действующем сервисе.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345"/>
        <w:gridCol w:w="334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Получатель и его роль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Данные и территория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Сервер база и журналы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[[ЮРЛИЦО ХОСТИНГА И ДОГОВОР]]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Аккаунты и служебные данные; </w:t>
            </w:r>
            <w:r>
              <w:rPr>
                <w:sz w:val="18"/>
                <w:highlight w:val="yellow"/>
              </w:rPr>
              <w:t>[[СТРАНА И ЦОД]]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Файлы пользователей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[[ЮРЛИЦО ХРАНИЛИЩА И ДОГОВОР]]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Фото видео вложения; </w:t>
            </w:r>
            <w:r>
              <w:rPr>
                <w:sz w:val="18"/>
                <w:highlight w:val="yellow"/>
              </w:rPr>
              <w:t>[[СТРАНА И ЦОД]]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Электронная почта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[[EMAIL ПОСТАВЩИК И ДОГОВОР]]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Email и содержание сервисного письма; </w:t>
            </w:r>
            <w:r>
              <w:rPr>
                <w:sz w:val="18"/>
                <w:highlight w:val="yellow"/>
              </w:rPr>
              <w:t>[[СТРАНЫ]]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Вход и push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[[ПОСТАВЩИКИ ВХОДА PUSH РОЛИ]]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[[ТОЧНЫЙ СОСТАВ ПЕРЕДАЧИ И СТРАНЫ]]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Карты и геокодирование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[[ПОЛУЧАТЕЛИ КАРТ И ГЕО]]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[[ПОИСКОВЫЕ ЗАПРОСЫ IP КООРДИНАТЫ СТРАНЫ]]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Резервные копии и поддержка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[[ПОЛУЧАТЕЛИ БЭКАПОВ ПОДДЕРЖКИ]]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[[СОСТАВ ДОСТУПА И СТРАНЫ]]</w:t>
            </w:r>
          </w:p>
        </w:tc>
      </w:tr>
    </w:tbl>
    <w:p>
      <w:pPr>
        <w:spacing w:after="40" w:before="0" w:line="72" w:lineRule="auto"/>
      </w:pPr>
    </w:p>
    <w:p>
      <w:r>
        <w:t>Лица, обрабатывающие данные по поручению оператора, действуют по договору с определёнными целями, действиями и обязанностями конфиденциальности и безопасности. Для самостоятельных операторов указываются их роль и отдельное основание передачи. Сведения о пользователях не продаются.</w:t>
      </w:r>
    </w:p>
    <w:p>
      <w:r>
        <w:t xml:space="preserve">Трансграничная передача: </w:t>
      </w:r>
      <w:r>
        <w:rPr>
          <w:highlight w:val="yellow"/>
        </w:rPr>
        <w:t>[[ПЕРЕЧЕНЬ ПЕРЕДАЧ ИЛИ ПОДТВЕРЖДЁННОЕ ОТСУТСТВИЕ]]</w:t>
      </w:r>
      <w:r>
        <w:t>. При наличии таких передач оператор предварительно выполняет требования статьи 12 закона № 152-ФЗ, включая оценку получателей, отдельное уведомление Роскомнадзора и соблюдение применимых ограничений. Согласие на необязательную функцию не отменяет локализацию и эти требования.</w:t>
      </w:r>
    </w:p>
    <w:p>
      <w:pPr>
        <w:pStyle w:val="Heading1"/>
      </w:pPr>
      <w:r>
        <w:t>8 Сроки хранения и удаление</w:t>
      </w:r>
    </w:p>
    <w:p>
      <w:r>
        <w:t>Данные аккаунта и игровых функций используются, пока сохраняются соответствующие цели и договор. Отдельное поле или материал удаляется раньше по запросу, если для него больше нет основания. После прекращения цели либо отзыва согласия данные уничтожаются в применимый срок, обычно не более 30 дней в случаях, предусмотренных частями 4 и 5 статьи 21 закона № 152-ФЗ, при отсутствии другого законного основания или предусмотренного законом исключения.</w:t>
      </w:r>
    </w:p>
    <w:p>
      <w:r>
        <w:t xml:space="preserve">Сроки технических журналов: </w:t>
      </w:r>
      <w:r>
        <w:rPr>
          <w:highlight w:val="yellow"/>
        </w:rPr>
        <w:t>[[СРОК ЖУРНАЛОВ И ОБОСНОВАНИЕ]]</w:t>
      </w:r>
      <w:r>
        <w:t xml:space="preserve">. История показов для рекомендаций: </w:t>
      </w:r>
      <w:r>
        <w:rPr>
          <w:highlight w:val="yellow"/>
        </w:rPr>
        <w:t>[[СРОК ПОКАЗОВ И ОБОСНОВАНИЕ]]</w:t>
      </w:r>
      <w:r>
        <w:t xml:space="preserve">. Необязательная продуктовая аналитика: </w:t>
      </w:r>
      <w:r>
        <w:rPr>
          <w:highlight w:val="yellow"/>
        </w:rPr>
        <w:t>[[СРОК АНАЛИТИКИ]]</w:t>
      </w:r>
      <w:r>
        <w:t xml:space="preserve">. Цикл удаления из резервных копий: </w:t>
      </w:r>
      <w:r>
        <w:rPr>
          <w:highlight w:val="yellow"/>
        </w:rPr>
        <w:t>[[СРОК БЭКАПОВ]]</w:t>
      </w:r>
      <w:r>
        <w:t>. Эти сроки должны соответствовать целям обработки и фактической настройке удаления.</w:t>
      </w:r>
    </w:p>
    <w:p>
      <w:r>
        <w:t xml:space="preserve">Доказательства принятия документов и материалы конкретных обращений сохраняются отдельно в минимальном объёме на срок </w:t>
      </w:r>
      <w:r>
        <w:rPr>
          <w:highlight w:val="yellow"/>
        </w:rPr>
        <w:t>[[СРОК ДОКАЗАТЕЛЬСТВ И ОБРАЩЕНИЙ ОСНОВАНИЕ]]</w:t>
      </w:r>
      <w:r>
        <w:t>. При обязательном хранении по специальному закону сохраняются только предусмотренные этим законом сведения и сроки. После правовой оценки чата применимые специальные правила вносятся в политику до её утверждения.</w:t>
      </w:r>
    </w:p>
    <w:p>
      <w:r>
        <w:t>Удаление охватывает основные записи, связанные идентификаторы, медиафайлы, производные копии, журналы и резервные копии в пределах применимых сроков. Когда немедленное уничтожение технически невозможно, данные блокируются и уничтожаются в порядке и сроки части 6 статьи 21; это не используется как обычное основание для лишнего хранения. При восстановлении резервной копии требования об удалении применяются повторно до возобновления пользовательского доступа.</w:t>
      </w:r>
    </w:p>
    <w:p>
      <w:pPr>
        <w:pStyle w:val="Heading1"/>
      </w:pPr>
      <w:r>
        <w:t>9 Права и порядок обращения</w:t>
      </w:r>
    </w:p>
    <w:p>
      <w:r>
        <w:t>Пользователь вправе получить сведения об обработке и доступ к своим данным, требовать их уточнения, блокирования или уничтожения при наличии оснований, отозвать согласие, потребовать прекращения распространения, обжаловать действия оператора в Роскомнадзор или суд.</w:t>
      </w:r>
    </w:p>
    <w:p>
      <w:r>
        <w:t>Обращение направляется через доступную функцию аккаунта, на support@sportsearch.shop или по адресу оператора. Следует указать аккаунт, суть требования и контакт для ответа. Если закон требует специальных реквизитов запроса, оператор разъясняет их и предоставляет соразмерный способ проверки личности. Копия паспорта не запрашивается для каждого обычного обращения.</w:t>
      </w:r>
    </w:p>
    <w:p>
      <w:r>
        <w:t>Сведения об обработке и мотивированный ответ на предусмотренный законом запрос предоставляются в течение 10 рабочих дней; допускаемое законом продление не более чем на 5 рабочих дней сопровождается мотивированным уведомлением. Для отдельных требований об исправлении, прекращении обработки или уничтожении применяются специальные сроки закона.</w:t>
      </w:r>
    </w:p>
    <w:p>
      <w:r>
        <w:t>Отказ от необязательной обработки ограничивает только связанную с ней возможность. Отзыв согласия не прекращает обработку, для которой сохраняется самостоятельное законное основание; по обращению оператор сообщает соответствующее основание и объём.</w:t>
      </w:r>
    </w:p>
    <w:p>
      <w:pPr>
        <w:pStyle w:val="Heading1"/>
      </w:pPr>
      <w:r>
        <w:t>10 Защита и обновление политики</w:t>
      </w:r>
    </w:p>
    <w:p>
      <w:r>
        <w:t>Оператор определяет необходимые организационные и технические меры по статье 19 закона № 152-ФЗ с учётом характера данных, угроз и используемых систем. Доступ предоставляется только для рабочих задач, защищаются учётные записи и соединения, контролируются полномочия и удаление, регистрируются и расследуются инциденты.</w:t>
      </w:r>
    </w:p>
    <w:p>
      <w:r>
        <w:t xml:space="preserve">Фактически реализуемые меры и применимые требования к защите: </w:t>
      </w:r>
      <w:r>
        <w:rPr>
          <w:highlight w:val="yellow"/>
        </w:rPr>
        <w:t>[[ПОДТВЕРЖДЁННЫЕ МЕРЫ ЗАЩИТЫ И ТРЕБОВАНИЯ]]</w:t>
      </w:r>
      <w:r>
        <w:t>. До публикации этот перечень заполняется по проверенной конфигурации; запланированные меры не выдаются за действующие.</w:t>
      </w:r>
    </w:p>
    <w:p>
      <w:r>
        <w:t xml:space="preserve">Новая редакция политики публикуется с датой и номером версии. Изменение текста не заменяет получение нового согласия, когда изменяются цели или условия обработки, требующие такого согласия. Доступ к прежним редакциям: </w:t>
      </w:r>
      <w:r>
        <w:rPr>
          <w:highlight w:val="yellow"/>
        </w:rPr>
        <w:t>[[URL АРХИВА ДОКУМЕНТОВ]]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SportSearch  |  Комплект документов  |  Проект 07.09.2026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" TargetMode="External"/><Relationship Id="rId12" Type="http://schemas.openxmlformats.org/officeDocument/2006/relationships/hyperlink" Target="https://sportsearch.shop/legal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персональных данных SportSearch</dc:title>
  <dc:subject>Бесплатное приложение SportSearch без рекламы</dc:subject>
  <dc:creator>SportSearch</dc:creator>
  <cp:keywords>Проект; персональные данные; самозанятый; SportSearch</cp:keywords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