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2A2C" w14:textId="61C76903" w:rsidR="00B872E8" w:rsidRDefault="00B872E8">
      <w:r>
        <w:t>Research Project 1B Task 2</w:t>
      </w:r>
    </w:p>
    <w:p w14:paraId="3E242078" w14:textId="77777777" w:rsidR="00B872E8" w:rsidRDefault="00B872E8"/>
    <w:p w14:paraId="5DB862D5" w14:textId="21933D89" w:rsidR="00B872E8" w:rsidRPr="00B872E8" w:rsidRDefault="00B872E8">
      <w:pPr>
        <w:rPr>
          <w:b/>
          <w:bCs/>
        </w:rPr>
      </w:pPr>
      <w:r w:rsidRPr="00B872E8">
        <w:rPr>
          <w:b/>
          <w:bCs/>
        </w:rPr>
        <w:t xml:space="preserve">Question 1.1 </w:t>
      </w:r>
    </w:p>
    <w:p w14:paraId="7ACD7CB1" w14:textId="6CDE7EE0" w:rsidR="00B872E8" w:rsidRDefault="00B872E8"/>
    <w:p w14:paraId="213CBDB1" w14:textId="54E6EE10" w:rsidR="00B872E8" w:rsidRDefault="00B872E8">
      <w:r>
        <w:t>AGT-A</w:t>
      </w:r>
    </w:p>
    <w:p w14:paraId="2C590D9E" w14:textId="77777777" w:rsidR="00B872E8" w:rsidRDefault="00B872E8"/>
    <w:p w14:paraId="26569C6E" w14:textId="06B8934D" w:rsidR="00B872E8" w:rsidRPr="00B872E8" w:rsidRDefault="00B872E8">
      <w:pPr>
        <w:rPr>
          <w:b/>
          <w:bCs/>
        </w:rPr>
      </w:pPr>
      <w:r w:rsidRPr="00B872E8">
        <w:rPr>
          <w:b/>
          <w:bCs/>
        </w:rPr>
        <w:t xml:space="preserve">Question 1.2 </w:t>
      </w:r>
    </w:p>
    <w:p w14:paraId="42A0B624" w14:textId="77777777" w:rsidR="00B872E8" w:rsidRDefault="00B872E8"/>
    <w:p w14:paraId="6799E925" w14:textId="3A47B966" w:rsidR="00B872E8" w:rsidRDefault="00B872E8">
      <w:r>
        <w:t>Sample 1 = AG-TGA</w:t>
      </w:r>
    </w:p>
    <w:p w14:paraId="146F3910" w14:textId="6CA052DF" w:rsidR="00B872E8" w:rsidRDefault="00B872E8">
      <w:r>
        <w:t>Sample 2 = AGT-GA</w:t>
      </w:r>
    </w:p>
    <w:p w14:paraId="310AEA14" w14:textId="77777777" w:rsidR="00B872E8" w:rsidRDefault="00B872E8"/>
    <w:p w14:paraId="6BE73FD2" w14:textId="1C74E2A1" w:rsidR="00B872E8" w:rsidRDefault="00B872E8">
      <w:r>
        <w:t xml:space="preserve">Samples 1 and 2 are </w:t>
      </w:r>
      <w:r w:rsidR="00351FC6">
        <w:t>zero</w:t>
      </w:r>
      <w:r>
        <w:t xml:space="preserve"> SNPS </w:t>
      </w:r>
      <w:r w:rsidR="00351FC6">
        <w:t>apart however both samples contain one deletion</w:t>
      </w:r>
      <w:r w:rsidR="004432AD">
        <w:t xml:space="preserve"> when </w:t>
      </w:r>
      <w:r w:rsidR="00351FC6">
        <w:t>compared to the reference genome.</w:t>
      </w:r>
    </w:p>
    <w:p w14:paraId="259BDCD3" w14:textId="77777777" w:rsidR="00B872E8" w:rsidRDefault="00B872E8"/>
    <w:p w14:paraId="4F001D2C" w14:textId="1B972E73" w:rsidR="00B872E8" w:rsidRDefault="00B872E8">
      <w:pPr>
        <w:rPr>
          <w:b/>
          <w:bCs/>
        </w:rPr>
      </w:pPr>
      <w:r w:rsidRPr="00B872E8">
        <w:rPr>
          <w:b/>
          <w:bCs/>
        </w:rPr>
        <w:t>Question 1.3</w:t>
      </w:r>
    </w:p>
    <w:p w14:paraId="0371EE3D" w14:textId="4C2C6734" w:rsidR="00B872E8" w:rsidRDefault="00B872E8" w:rsidP="00B872E8">
      <w:pPr>
        <w:pStyle w:val="ListParagraph"/>
        <w:numPr>
          <w:ilvl w:val="0"/>
          <w:numId w:val="1"/>
        </w:numPr>
      </w:pPr>
      <w:r>
        <w:t>Sample 1 = AGT---A, Sample 2 = AG---TA</w:t>
      </w:r>
    </w:p>
    <w:p w14:paraId="73C85501" w14:textId="1A262C2A" w:rsidR="00B872E8" w:rsidRDefault="00AB332D" w:rsidP="00B872E8">
      <w:pPr>
        <w:pStyle w:val="ListParagraph"/>
        <w:numPr>
          <w:ilvl w:val="0"/>
          <w:numId w:val="1"/>
        </w:numPr>
      </w:pPr>
      <w:r>
        <w:t>There are no differences between the genomes of sample 1 and sample 2…</w:t>
      </w:r>
    </w:p>
    <w:p w14:paraId="7D01E1FC" w14:textId="01FDBEE1" w:rsidR="00B872E8" w:rsidRDefault="00AB332D" w:rsidP="00B872E8">
      <w:pPr>
        <w:pStyle w:val="ListParagraph"/>
        <w:numPr>
          <w:ilvl w:val="0"/>
          <w:numId w:val="1"/>
        </w:numPr>
      </w:pPr>
      <w:r>
        <w:t>However, when comparing the VCF files for the two samples we can see</w:t>
      </w:r>
      <w:r w:rsidR="005E403C">
        <w:t xml:space="preserve"> they</w:t>
      </w:r>
      <w:r>
        <w:t xml:space="preserve"> arose by different deletions when comparing them to the reference. Sample 1 came around by the deletions of the nucleotides (ACT) at positions 4,5, and 6 from the reference strand, whilst sample 2 arose from the deletions of the nucleotides (TAC at positions 3,4, and 5. </w:t>
      </w:r>
    </w:p>
    <w:p w14:paraId="6708DAC6" w14:textId="77777777" w:rsidR="00B872E8" w:rsidRDefault="00B872E8" w:rsidP="00B872E8"/>
    <w:p w14:paraId="0F8397B4" w14:textId="5190BABC" w:rsidR="00B872E8" w:rsidRDefault="00B872E8" w:rsidP="00B872E8">
      <w:r>
        <w:rPr>
          <w:b/>
          <w:bCs/>
        </w:rPr>
        <w:t xml:space="preserve">Question 1.4 </w:t>
      </w:r>
    </w:p>
    <w:p w14:paraId="38E592FE" w14:textId="77777777" w:rsidR="00B872E8" w:rsidRDefault="00B872E8" w:rsidP="00B872E8"/>
    <w:p w14:paraId="212ADBA9" w14:textId="17B7F728" w:rsidR="00B872E8" w:rsidRDefault="00B872E8" w:rsidP="00B872E8">
      <w:r>
        <w:t>2 GACT G</w:t>
      </w:r>
    </w:p>
    <w:p w14:paraId="7462911D" w14:textId="77777777" w:rsidR="00B872E8" w:rsidRDefault="00B872E8" w:rsidP="00B872E8"/>
    <w:p w14:paraId="5A10A8BB" w14:textId="59300D16" w:rsidR="00B872E8" w:rsidRDefault="00B872E8" w:rsidP="00B872E8">
      <w:pPr>
        <w:rPr>
          <w:b/>
          <w:bCs/>
        </w:rPr>
      </w:pPr>
      <w:r>
        <w:rPr>
          <w:b/>
          <w:bCs/>
        </w:rPr>
        <w:t xml:space="preserve">Question 1.5 </w:t>
      </w:r>
    </w:p>
    <w:p w14:paraId="097F3BAF" w14:textId="77777777" w:rsidR="00B872E8" w:rsidRDefault="00B872E8" w:rsidP="00B872E8"/>
    <w:p w14:paraId="15C164C3" w14:textId="110F8124" w:rsidR="00B872E8" w:rsidRDefault="00B872E8" w:rsidP="00B872E8">
      <w:r>
        <w:t>VCF1</w:t>
      </w:r>
    </w:p>
    <w:p w14:paraId="2C76F909" w14:textId="6E343472" w:rsidR="00B872E8" w:rsidRDefault="00B872E8" w:rsidP="00B872E8">
      <w:r>
        <w:t>AGTC---T</w:t>
      </w:r>
      <w:r w:rsidR="00B205C3">
        <w:t xml:space="preserve"> (AGTCT)</w:t>
      </w:r>
    </w:p>
    <w:p w14:paraId="4DBE8D3C" w14:textId="77777777" w:rsidR="00B872E8" w:rsidRDefault="00B872E8" w:rsidP="00B872E8"/>
    <w:p w14:paraId="1A891C57" w14:textId="305AE1A3" w:rsidR="00B872E8" w:rsidRDefault="00B872E8" w:rsidP="00B872E8">
      <w:r>
        <w:t>VCF2</w:t>
      </w:r>
    </w:p>
    <w:p w14:paraId="12C62AE7" w14:textId="618788E8" w:rsidR="00B872E8" w:rsidRDefault="00B872E8" w:rsidP="00B872E8">
      <w:r>
        <w:t>AGT---CT</w:t>
      </w:r>
      <w:r w:rsidR="00B205C3">
        <w:t xml:space="preserve"> </w:t>
      </w:r>
      <w:r w:rsidR="00B205C3">
        <w:t>(AGTCT)</w:t>
      </w:r>
    </w:p>
    <w:p w14:paraId="181BF64A" w14:textId="77777777" w:rsidR="00B872E8" w:rsidRDefault="00B872E8" w:rsidP="00B872E8"/>
    <w:p w14:paraId="1A5DDFCA" w14:textId="672E3BA2" w:rsidR="00B872E8" w:rsidRDefault="00B872E8" w:rsidP="00B872E8">
      <w:r>
        <w:t>VCF3</w:t>
      </w:r>
    </w:p>
    <w:p w14:paraId="40A24FB9" w14:textId="2CEAA827" w:rsidR="00B872E8" w:rsidRDefault="00B872E8" w:rsidP="00B872E8">
      <w:r>
        <w:t>AG---TCT</w:t>
      </w:r>
      <w:r w:rsidR="00B205C3">
        <w:t xml:space="preserve"> </w:t>
      </w:r>
      <w:r w:rsidR="00B205C3">
        <w:t>(AGTCT)</w:t>
      </w:r>
    </w:p>
    <w:p w14:paraId="2849FCD2" w14:textId="77777777" w:rsidR="00CF21C6" w:rsidRDefault="00CF21C6" w:rsidP="00B872E8"/>
    <w:p w14:paraId="533B2C81" w14:textId="439BE7E1" w:rsidR="00CF21C6" w:rsidRDefault="00CF21C6" w:rsidP="00B872E8">
      <w:r>
        <w:t>Each of the genomes produced by these three VCFs (as seen above) are exactly the same. Although the deletions occur in different places within the genome, when they are removed each of the three sequences is identical (AGTCT)</w:t>
      </w:r>
    </w:p>
    <w:p w14:paraId="75D3412B" w14:textId="77777777" w:rsidR="00351FC6" w:rsidRDefault="00351FC6" w:rsidP="00B872E8"/>
    <w:p w14:paraId="4E2DD731" w14:textId="6A2E6DCC" w:rsidR="00351FC6" w:rsidRPr="00351FC6" w:rsidRDefault="00351FC6" w:rsidP="00B872E8">
      <w:pPr>
        <w:rPr>
          <w:b/>
          <w:bCs/>
        </w:rPr>
      </w:pPr>
      <w:r>
        <w:rPr>
          <w:b/>
          <w:bCs/>
        </w:rPr>
        <w:t xml:space="preserve">Question 1.6 </w:t>
      </w:r>
    </w:p>
    <w:p w14:paraId="37389742" w14:textId="77777777" w:rsidR="00B872E8" w:rsidRDefault="00B872E8" w:rsidP="00B872E8"/>
    <w:p w14:paraId="566AA6FC" w14:textId="7B05AFE0" w:rsidR="00E718A9" w:rsidRPr="00B872E8" w:rsidRDefault="00E718A9" w:rsidP="00B872E8">
      <w:r>
        <w:t>VCF1</w:t>
      </w:r>
    </w:p>
    <w:p w14:paraId="158C7C58" w14:textId="624D604C" w:rsidR="00B872E8" w:rsidRDefault="00E718A9" w:rsidP="00E718A9">
      <w:pPr>
        <w:spacing w:line="360" w:lineRule="auto"/>
        <w:rPr>
          <w:u w:val="single"/>
        </w:rPr>
      </w:pPr>
      <w:r w:rsidRPr="00E718A9">
        <w:rPr>
          <w:u w:val="single"/>
        </w:rPr>
        <w:t>7 GACT   G</w:t>
      </w:r>
    </w:p>
    <w:p w14:paraId="40AD02F5" w14:textId="123E37C9" w:rsidR="00E718A9" w:rsidRPr="00E718A9" w:rsidRDefault="00E718A9" w:rsidP="00E718A9">
      <w:pPr>
        <w:spacing w:line="360" w:lineRule="auto"/>
      </w:pPr>
      <w:r>
        <w:t>VCF2</w:t>
      </w:r>
    </w:p>
    <w:p w14:paraId="1557D1C1" w14:textId="7FFB7880" w:rsidR="00E718A9" w:rsidRDefault="00E718A9" w:rsidP="00E718A9">
      <w:pPr>
        <w:spacing w:line="360" w:lineRule="auto"/>
      </w:pPr>
      <w:r>
        <w:lastRenderedPageBreak/>
        <w:t>6 TGACT   TG</w:t>
      </w:r>
    </w:p>
    <w:p w14:paraId="2098E3F0" w14:textId="78E22AE2" w:rsidR="00E718A9" w:rsidRDefault="00E718A9" w:rsidP="00E718A9">
      <w:pPr>
        <w:spacing w:line="360" w:lineRule="auto"/>
      </w:pPr>
      <w:r>
        <w:t>VCF3</w:t>
      </w:r>
    </w:p>
    <w:p w14:paraId="293D9B5C" w14:textId="77A193B7" w:rsidR="00E718A9" w:rsidRDefault="00E718A9" w:rsidP="00E718A9">
      <w:pPr>
        <w:spacing w:line="360" w:lineRule="auto"/>
      </w:pPr>
      <w:r>
        <w:t>VCF4</w:t>
      </w:r>
    </w:p>
    <w:p w14:paraId="500A2D19" w14:textId="17942434" w:rsidR="00E718A9" w:rsidRDefault="00E718A9" w:rsidP="00E718A9">
      <w:pPr>
        <w:spacing w:line="360" w:lineRule="auto"/>
      </w:pPr>
      <w:r>
        <w:t>10 TACT   T</w:t>
      </w:r>
    </w:p>
    <w:p w14:paraId="5E52C61C" w14:textId="3FF6F4DE" w:rsidR="00E718A9" w:rsidRDefault="00E718A9" w:rsidP="00E718A9">
      <w:pPr>
        <w:spacing w:line="360" w:lineRule="auto"/>
      </w:pPr>
      <w:r>
        <w:t>VCF5</w:t>
      </w:r>
    </w:p>
    <w:p w14:paraId="2E622DFD" w14:textId="0E5C55F7" w:rsidR="00E718A9" w:rsidRDefault="00E718A9" w:rsidP="00E718A9">
      <w:pPr>
        <w:spacing w:line="360" w:lineRule="auto"/>
      </w:pPr>
      <w:r>
        <w:t xml:space="preserve">1 AGTCTTGACTACTACTACTGGG   AGTCTTGACTACTACTGGG   </w:t>
      </w:r>
    </w:p>
    <w:p w14:paraId="646E624A" w14:textId="3E0D82CE" w:rsidR="00E718A9" w:rsidRDefault="00E718A9" w:rsidP="00E718A9">
      <w:pPr>
        <w:spacing w:line="360" w:lineRule="auto"/>
      </w:pPr>
      <w:r>
        <w:t>VCF6</w:t>
      </w:r>
    </w:p>
    <w:p w14:paraId="78EF9C52" w14:textId="7FCA2233" w:rsidR="00E718A9" w:rsidRDefault="00E718A9" w:rsidP="00E718A9">
      <w:pPr>
        <w:spacing w:line="360" w:lineRule="auto"/>
      </w:pPr>
      <w:r>
        <w:t>13 TACT T</w:t>
      </w:r>
    </w:p>
    <w:p w14:paraId="258C186E" w14:textId="5CDA85AC" w:rsidR="00E718A9" w:rsidRDefault="00E718A9" w:rsidP="00E718A9">
      <w:pPr>
        <w:spacing w:line="360" w:lineRule="auto"/>
      </w:pPr>
      <w:r>
        <w:t>VCF7</w:t>
      </w:r>
    </w:p>
    <w:p w14:paraId="6F762D32" w14:textId="6106B41E" w:rsidR="00E718A9" w:rsidRDefault="00E718A9" w:rsidP="00E718A9">
      <w:pPr>
        <w:spacing w:line="360" w:lineRule="auto"/>
      </w:pPr>
      <w:r>
        <w:t>16 TACT T</w:t>
      </w:r>
    </w:p>
    <w:p w14:paraId="75593A88" w14:textId="77777777" w:rsidR="00E718A9" w:rsidRDefault="00E718A9" w:rsidP="00E718A9">
      <w:pPr>
        <w:spacing w:line="360" w:lineRule="auto"/>
      </w:pPr>
    </w:p>
    <w:p w14:paraId="708347AB" w14:textId="5C8C52B0" w:rsidR="00B872E8" w:rsidRDefault="00E718A9">
      <w:pPr>
        <w:rPr>
          <w:color w:val="000000"/>
        </w:rPr>
      </w:pPr>
      <w:r>
        <w:t>Above are just a few examples of VCF representations that you could give to define the sample when compared to the reference. The issue with this i</w:t>
      </w:r>
      <w:r w:rsidR="00F45B80">
        <w:t xml:space="preserve">s, as best highlighted by VCF5, there could potentially be hundreds, or even thousands of different combinations to describe one sample relative to its reference genome. To overcome </w:t>
      </w:r>
      <w:r w:rsidR="00D265B4">
        <w:t xml:space="preserve">this the VCF file should be normalised, as demonstrated in a paper by </w:t>
      </w:r>
      <w:sdt>
        <w:sdtPr>
          <w:rPr>
            <w:color w:val="000000"/>
          </w:rPr>
          <w:tag w:val="MENDELEY_CITATION_v3_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"/>
          <w:id w:val="-1101099801"/>
          <w:placeholder>
            <w:docPart w:val="DefaultPlaceholder_-1854013440"/>
          </w:placeholder>
        </w:sdtPr>
        <w:sdtContent>
          <w:r w:rsidR="00D265B4" w:rsidRPr="00D265B4">
            <w:rPr>
              <w:color w:val="000000"/>
            </w:rPr>
            <w:t>Tan et al., (2015)</w:t>
          </w:r>
        </w:sdtContent>
      </w:sdt>
      <w:r w:rsidR="00D265B4">
        <w:rPr>
          <w:color w:val="000000"/>
        </w:rPr>
        <w:t xml:space="preserve">. Normalisation of a variant representation consists of two parts, left alignment and parsimony. Left alignment means that its base position is the smallest possible among all potential VCF entries of the same length and for the same variant. To be parsimonious the VCF entry must have the shortest allele length possible to represent the variant. For the example in this task the correctly normalised VCF is shown in my answers as VCF1 which is underlined. </w:t>
      </w:r>
    </w:p>
    <w:p w14:paraId="3EE994AF" w14:textId="77777777" w:rsidR="00D265B4" w:rsidRDefault="00D265B4">
      <w:pPr>
        <w:rPr>
          <w:color w:val="000000"/>
        </w:rPr>
      </w:pPr>
    </w:p>
    <w:p w14:paraId="299EB51C" w14:textId="1C907693" w:rsidR="005E403C" w:rsidRDefault="005E403C" w:rsidP="005E403C">
      <w:pPr>
        <w:rPr>
          <w:b/>
          <w:bCs/>
        </w:rPr>
      </w:pPr>
      <w:r>
        <w:rPr>
          <w:b/>
          <w:bCs/>
        </w:rPr>
        <w:t>Question 2</w:t>
      </w:r>
    </w:p>
    <w:p w14:paraId="1E143B7F" w14:textId="77777777" w:rsidR="005E403C" w:rsidRDefault="005E403C" w:rsidP="005E403C">
      <w:pPr>
        <w:rPr>
          <w:b/>
          <w:bCs/>
        </w:rPr>
      </w:pPr>
    </w:p>
    <w:p w14:paraId="3D743F7E" w14:textId="50F5E7D8" w:rsidR="005E403C" w:rsidRDefault="009947A4" w:rsidP="009947A4">
      <w:r>
        <w:t>1.</w:t>
      </w:r>
    </w:p>
    <w:p w14:paraId="2A4A7325" w14:textId="77777777" w:rsidR="009947A4" w:rsidRDefault="009947A4" w:rsidP="009947A4"/>
    <w:p w14:paraId="1FCFC97E" w14:textId="04A65B03" w:rsidR="009947A4" w:rsidRDefault="009947A4" w:rsidP="009947A4">
      <w:r w:rsidRPr="009947A4">
        <w:drawing>
          <wp:anchor distT="0" distB="0" distL="114300" distR="114300" simplePos="0" relativeHeight="251658240" behindDoc="1" locked="0" layoutInCell="1" allowOverlap="1" wp14:anchorId="0F6F2C65" wp14:editId="79D1FB0D">
            <wp:simplePos x="0" y="0"/>
            <wp:positionH relativeFrom="column">
              <wp:posOffset>-541617</wp:posOffset>
            </wp:positionH>
            <wp:positionV relativeFrom="paragraph">
              <wp:posOffset>450215</wp:posOffset>
            </wp:positionV>
            <wp:extent cx="6811421" cy="200401"/>
            <wp:effectExtent l="0" t="0" r="0" b="3175"/>
            <wp:wrapTight wrapText="bothSides">
              <wp:wrapPolygon edited="0">
                <wp:start x="0" y="0"/>
                <wp:lineTo x="0" y="20571"/>
                <wp:lineTo x="21507" y="20571"/>
                <wp:lineTo x="21507" y="0"/>
                <wp:lineTo x="0" y="0"/>
              </wp:wrapPolygon>
            </wp:wrapTight>
            <wp:docPr id="99996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6326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1421" cy="200401"/>
                    </a:xfrm>
                    <a:prstGeom prst="rect">
                      <a:avLst/>
                    </a:prstGeom>
                  </pic:spPr>
                </pic:pic>
              </a:graphicData>
            </a:graphic>
            <wp14:sizeRelH relativeFrom="page">
              <wp14:pctWidth>0</wp14:pctWidth>
            </wp14:sizeRelH>
            <wp14:sizeRelV relativeFrom="page">
              <wp14:pctHeight>0</wp14:pctHeight>
            </wp14:sizeRelV>
          </wp:anchor>
        </w:drawing>
      </w:r>
      <w:r>
        <w:t xml:space="preserve">Firstly, for each sample, the reads were all aligned with the following command (with the files change appropriately for each sample. </w:t>
      </w:r>
    </w:p>
    <w:p w14:paraId="557AD6FC" w14:textId="29F0EC06" w:rsidR="009947A4" w:rsidRDefault="009947A4" w:rsidP="009947A4">
      <w:r w:rsidRPr="009947A4">
        <w:drawing>
          <wp:anchor distT="0" distB="0" distL="114300" distR="114300" simplePos="0" relativeHeight="251659264" behindDoc="1" locked="0" layoutInCell="1" allowOverlap="1" wp14:anchorId="5108005D" wp14:editId="33F5DAA7">
            <wp:simplePos x="0" y="0"/>
            <wp:positionH relativeFrom="column">
              <wp:posOffset>-848883</wp:posOffset>
            </wp:positionH>
            <wp:positionV relativeFrom="paragraph">
              <wp:posOffset>672652</wp:posOffset>
            </wp:positionV>
            <wp:extent cx="7495450" cy="218403"/>
            <wp:effectExtent l="0" t="0" r="0" b="0"/>
            <wp:wrapTight wrapText="bothSides">
              <wp:wrapPolygon edited="0">
                <wp:start x="0" y="0"/>
                <wp:lineTo x="0" y="20152"/>
                <wp:lineTo x="21521" y="20152"/>
                <wp:lineTo x="21521" y="0"/>
                <wp:lineTo x="0" y="0"/>
              </wp:wrapPolygon>
            </wp:wrapTight>
            <wp:docPr id="147156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6449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01955" cy="236075"/>
                    </a:xfrm>
                    <a:prstGeom prst="rect">
                      <a:avLst/>
                    </a:prstGeom>
                  </pic:spPr>
                </pic:pic>
              </a:graphicData>
            </a:graphic>
            <wp14:sizeRelH relativeFrom="page">
              <wp14:pctWidth>0</wp14:pctWidth>
            </wp14:sizeRelH>
            <wp14:sizeRelV relativeFrom="page">
              <wp14:pctHeight>0</wp14:pctHeight>
            </wp14:sizeRelV>
          </wp:anchor>
        </w:drawing>
      </w:r>
      <w:r>
        <w:t>Then the variants were called and saved to a .</w:t>
      </w:r>
      <w:proofErr w:type="spellStart"/>
      <w:r>
        <w:t>vcf</w:t>
      </w:r>
      <w:proofErr w:type="spellEnd"/>
      <w:r>
        <w:t xml:space="preserve"> file using the following command:</w:t>
      </w:r>
    </w:p>
    <w:p w14:paraId="38613D7A" w14:textId="77777777" w:rsidR="00A73D68" w:rsidRDefault="00A73D68" w:rsidP="009947A4"/>
    <w:p w14:paraId="262C316E" w14:textId="77777777" w:rsidR="00A73D68" w:rsidRDefault="00A73D68" w:rsidP="009947A4"/>
    <w:p w14:paraId="2F5F84A5" w14:textId="05804D90" w:rsidR="00A73D68" w:rsidRDefault="000D0D19" w:rsidP="009947A4">
      <w:r>
        <w:t xml:space="preserve">2. </w:t>
      </w:r>
    </w:p>
    <w:p w14:paraId="3E499300" w14:textId="77777777" w:rsidR="00A73D68" w:rsidRDefault="00A73D68" w:rsidP="009947A4"/>
    <w:p w14:paraId="6ECADE7C" w14:textId="279942F0" w:rsidR="009947A4" w:rsidRDefault="00A73D68" w:rsidP="009947A4">
      <w:r>
        <w:t>I believe that sample 1 is different from the other two. The reason for this is that every single one of the variants called in samples 2 and 3 are exclusively single nucleotide polymorphisms. On the other hand. In sample 1, there are quite a few indels that are called throughout the sample, a few of which can be seen in the figure below.</w:t>
      </w:r>
    </w:p>
    <w:p w14:paraId="70BD9CDE" w14:textId="41E8DDFB" w:rsidR="00A73D68" w:rsidRDefault="00A73D68" w:rsidP="009947A4">
      <w:r w:rsidRPr="00A73D68">
        <w:lastRenderedPageBreak/>
        <w:drawing>
          <wp:inline distT="0" distB="0" distL="0" distR="0" wp14:anchorId="1D98C68B" wp14:editId="09058C9B">
            <wp:extent cx="4279900" cy="1155700"/>
            <wp:effectExtent l="0" t="0" r="0" b="0"/>
            <wp:docPr id="129139122" name="Picture 1" descr="A number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122" name="Picture 1" descr="A number in a row&#10;&#10;Description automatically generated"/>
                    <pic:cNvPicPr/>
                  </pic:nvPicPr>
                  <pic:blipFill>
                    <a:blip r:embed="rId8"/>
                    <a:stretch>
                      <a:fillRect/>
                    </a:stretch>
                  </pic:blipFill>
                  <pic:spPr>
                    <a:xfrm>
                      <a:off x="0" y="0"/>
                      <a:ext cx="4279900" cy="1155700"/>
                    </a:xfrm>
                    <a:prstGeom prst="rect">
                      <a:avLst/>
                    </a:prstGeom>
                  </pic:spPr>
                </pic:pic>
              </a:graphicData>
            </a:graphic>
          </wp:inline>
        </w:drawing>
      </w:r>
    </w:p>
    <w:p w14:paraId="74BBC1E3" w14:textId="77777777" w:rsidR="00A73D68" w:rsidRDefault="00A73D68" w:rsidP="009947A4"/>
    <w:p w14:paraId="37FA030B" w14:textId="77777777" w:rsidR="00A73D68" w:rsidRDefault="00A73D68" w:rsidP="009947A4"/>
    <w:p w14:paraId="6C0EED5B" w14:textId="0F1B4732" w:rsidR="00A73D68" w:rsidRDefault="00A73D68" w:rsidP="009947A4">
      <w:r>
        <w:t xml:space="preserve">3. </w:t>
      </w:r>
      <w:r w:rsidR="00662C26">
        <w:t xml:space="preserve">The indels in sample one all fall between position 1,245,282 and 1,255,000. If we look at the average coverage between these positions in sample one, we can see it is roughly double that of samples two and three, a sampling of these positions is shown in the figures below. </w:t>
      </w:r>
    </w:p>
    <w:p w14:paraId="2C285D57" w14:textId="77777777" w:rsidR="00662C26" w:rsidRDefault="00662C26" w:rsidP="009947A4"/>
    <w:p w14:paraId="218F5CC4" w14:textId="53BFDD9F" w:rsidR="00662C26" w:rsidRDefault="00662C26" w:rsidP="009947A4">
      <w:r>
        <w:rPr>
          <w:noProof/>
        </w:rPr>
        <mc:AlternateContent>
          <mc:Choice Requires="wps">
            <w:drawing>
              <wp:anchor distT="0" distB="0" distL="114300" distR="114300" simplePos="0" relativeHeight="251661312" behindDoc="0" locked="0" layoutInCell="1" allowOverlap="1" wp14:anchorId="33358AE6" wp14:editId="4CA1312D">
                <wp:simplePos x="0" y="0"/>
                <wp:positionH relativeFrom="column">
                  <wp:posOffset>2402205</wp:posOffset>
                </wp:positionH>
                <wp:positionV relativeFrom="paragraph">
                  <wp:posOffset>470535</wp:posOffset>
                </wp:positionV>
                <wp:extent cx="2420471" cy="340659"/>
                <wp:effectExtent l="0" t="0" r="5715" b="2540"/>
                <wp:wrapNone/>
                <wp:docPr id="1436192295" name="Text Box 1"/>
                <wp:cNvGraphicFramePr/>
                <a:graphic xmlns:a="http://schemas.openxmlformats.org/drawingml/2006/main">
                  <a:graphicData uri="http://schemas.microsoft.com/office/word/2010/wordprocessingShape">
                    <wps:wsp>
                      <wps:cNvSpPr txBox="1"/>
                      <wps:spPr>
                        <a:xfrm>
                          <a:off x="0" y="0"/>
                          <a:ext cx="2420471" cy="340659"/>
                        </a:xfrm>
                        <a:prstGeom prst="rect">
                          <a:avLst/>
                        </a:prstGeom>
                        <a:solidFill>
                          <a:schemeClr val="lt1"/>
                        </a:solidFill>
                        <a:ln w="6350">
                          <a:noFill/>
                        </a:ln>
                      </wps:spPr>
                      <wps:txbx>
                        <w:txbxContent>
                          <w:p w14:paraId="70EEA88D" w14:textId="7EEC5BAB" w:rsidR="00662C26" w:rsidRDefault="00662C26">
                            <w:r>
                              <w:t>Sample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358AE6" id="_x0000_t202" coordsize="21600,21600" o:spt="202" path="m,l,21600r21600,l21600,xe">
                <v:stroke joinstyle="miter"/>
                <v:path gradientshapeok="t" o:connecttype="rect"/>
              </v:shapetype>
              <v:shape id="Text Box 1" o:spid="_x0000_s1026" type="#_x0000_t202" style="position:absolute;margin-left:189.15pt;margin-top:37.05pt;width:190.6pt;height:2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" fillcolor="white [3201]" stroked="f" strokeweight=".5pt">
                <v:textbox>
                  <w:txbxContent>
                    <w:p w14:paraId="70EEA88D" w14:textId="7EEC5BAB" w:rsidR="00662C26" w:rsidRDefault="00662C26">
                      <w:r>
                        <w:t>Sample 1</w:t>
                      </w:r>
                    </w:p>
                  </w:txbxContent>
                </v:textbox>
              </v:shape>
            </w:pict>
          </mc:Fallback>
        </mc:AlternateContent>
      </w:r>
      <w:r w:rsidRPr="00662C26">
        <w:drawing>
          <wp:inline distT="0" distB="0" distL="0" distR="0" wp14:anchorId="321B1350" wp14:editId="0C33E812">
            <wp:extent cx="2223247" cy="1222786"/>
            <wp:effectExtent l="0" t="0" r="0" b="0"/>
            <wp:docPr id="884507036" name="Picture 1" descr="A number of number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07036" name="Picture 1" descr="A number of numbers and arrows&#10;&#10;Description automatically generated with medium confidence"/>
                    <pic:cNvPicPr/>
                  </pic:nvPicPr>
                  <pic:blipFill>
                    <a:blip r:embed="rId9"/>
                    <a:stretch>
                      <a:fillRect/>
                    </a:stretch>
                  </pic:blipFill>
                  <pic:spPr>
                    <a:xfrm>
                      <a:off x="0" y="0"/>
                      <a:ext cx="2239074" cy="1231491"/>
                    </a:xfrm>
                    <a:prstGeom prst="rect">
                      <a:avLst/>
                    </a:prstGeom>
                  </pic:spPr>
                </pic:pic>
              </a:graphicData>
            </a:graphic>
          </wp:inline>
        </w:drawing>
      </w:r>
    </w:p>
    <w:p w14:paraId="3555DC8B" w14:textId="7C5A3B34" w:rsidR="00662C26" w:rsidRDefault="00662C26" w:rsidP="009947A4"/>
    <w:p w14:paraId="37615104" w14:textId="52541FE8" w:rsidR="00A73D68" w:rsidRDefault="00662C26" w:rsidP="009947A4">
      <w:r w:rsidRPr="00662C26">
        <w:drawing>
          <wp:anchor distT="0" distB="0" distL="114300" distR="114300" simplePos="0" relativeHeight="251660288" behindDoc="1" locked="0" layoutInCell="1" allowOverlap="1" wp14:anchorId="3411BA59" wp14:editId="423F2486">
            <wp:simplePos x="0" y="0"/>
            <wp:positionH relativeFrom="column">
              <wp:posOffset>-9525</wp:posOffset>
            </wp:positionH>
            <wp:positionV relativeFrom="paragraph">
              <wp:posOffset>48895</wp:posOffset>
            </wp:positionV>
            <wp:extent cx="2232660" cy="1254760"/>
            <wp:effectExtent l="0" t="0" r="2540" b="2540"/>
            <wp:wrapTight wrapText="bothSides">
              <wp:wrapPolygon edited="0">
                <wp:start x="0" y="0"/>
                <wp:lineTo x="0" y="21425"/>
                <wp:lineTo x="21502" y="21425"/>
                <wp:lineTo x="21502" y="0"/>
                <wp:lineTo x="0" y="0"/>
              </wp:wrapPolygon>
            </wp:wrapTight>
            <wp:docPr id="417630669"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669" name="Picture 1" descr="A number of numbers and symbol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2660" cy="1254760"/>
                    </a:xfrm>
                    <a:prstGeom prst="rect">
                      <a:avLst/>
                    </a:prstGeom>
                  </pic:spPr>
                </pic:pic>
              </a:graphicData>
            </a:graphic>
            <wp14:sizeRelH relativeFrom="page">
              <wp14:pctWidth>0</wp14:pctWidth>
            </wp14:sizeRelH>
            <wp14:sizeRelV relativeFrom="page">
              <wp14:pctHeight>0</wp14:pctHeight>
            </wp14:sizeRelV>
          </wp:anchor>
        </w:drawing>
      </w:r>
    </w:p>
    <w:p w14:paraId="06470CC4" w14:textId="4E00FB8D" w:rsidR="009947A4" w:rsidRDefault="009947A4" w:rsidP="009947A4"/>
    <w:p w14:paraId="1A38815C" w14:textId="08A32953" w:rsidR="009947A4" w:rsidRDefault="00662C26" w:rsidP="009947A4">
      <w:r>
        <w:rPr>
          <w:noProof/>
        </w:rPr>
        <mc:AlternateContent>
          <mc:Choice Requires="wps">
            <w:drawing>
              <wp:anchor distT="0" distB="0" distL="114300" distR="114300" simplePos="0" relativeHeight="251663360" behindDoc="0" locked="0" layoutInCell="1" allowOverlap="1" wp14:anchorId="0936F25C" wp14:editId="3B55AE13">
                <wp:simplePos x="0" y="0"/>
                <wp:positionH relativeFrom="column">
                  <wp:posOffset>2411170</wp:posOffset>
                </wp:positionH>
                <wp:positionV relativeFrom="paragraph">
                  <wp:posOffset>116018</wp:posOffset>
                </wp:positionV>
                <wp:extent cx="2420471" cy="340659"/>
                <wp:effectExtent l="0" t="0" r="5715" b="2540"/>
                <wp:wrapNone/>
                <wp:docPr id="1247265453" name="Text Box 1"/>
                <wp:cNvGraphicFramePr/>
                <a:graphic xmlns:a="http://schemas.openxmlformats.org/drawingml/2006/main">
                  <a:graphicData uri="http://schemas.microsoft.com/office/word/2010/wordprocessingShape">
                    <wps:wsp>
                      <wps:cNvSpPr txBox="1"/>
                      <wps:spPr>
                        <a:xfrm>
                          <a:off x="0" y="0"/>
                          <a:ext cx="2420471" cy="340659"/>
                        </a:xfrm>
                        <a:prstGeom prst="rect">
                          <a:avLst/>
                        </a:prstGeom>
                        <a:solidFill>
                          <a:schemeClr val="lt1"/>
                        </a:solidFill>
                        <a:ln w="6350">
                          <a:noFill/>
                        </a:ln>
                      </wps:spPr>
                      <wps:txbx>
                        <w:txbxContent>
                          <w:p w14:paraId="0B98274F" w14:textId="07D587F5" w:rsidR="00662C26" w:rsidRDefault="00662C26" w:rsidP="00662C26">
                            <w:r>
                              <w:t>Sample</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6F25C" id="_x0000_s1027" type="#_x0000_t202" style="position:absolute;margin-left:189.85pt;margin-top:9.15pt;width:190.6pt;height:26.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" fillcolor="white [3201]" stroked="f" strokeweight=".5pt">
                <v:textbox>
                  <w:txbxContent>
                    <w:p w14:paraId="0B98274F" w14:textId="07D587F5" w:rsidR="00662C26" w:rsidRDefault="00662C26" w:rsidP="00662C26">
                      <w:r>
                        <w:t>Sample</w:t>
                      </w:r>
                      <w:r>
                        <w:t xml:space="preserve"> 2</w:t>
                      </w:r>
                    </w:p>
                  </w:txbxContent>
                </v:textbox>
              </v:shape>
            </w:pict>
          </mc:Fallback>
        </mc:AlternateContent>
      </w:r>
    </w:p>
    <w:p w14:paraId="69F97C01" w14:textId="1F0A8D23" w:rsidR="009947A4" w:rsidRDefault="009947A4" w:rsidP="009947A4"/>
    <w:p w14:paraId="46D171D6" w14:textId="2514F370" w:rsidR="009947A4" w:rsidRDefault="009947A4" w:rsidP="009947A4"/>
    <w:p w14:paraId="6C093C35" w14:textId="77777777" w:rsidR="00662C26" w:rsidRDefault="00662C26" w:rsidP="009947A4"/>
    <w:p w14:paraId="7542DAB0" w14:textId="509BEE0E" w:rsidR="00662C26" w:rsidRDefault="00662C26" w:rsidP="009947A4"/>
    <w:p w14:paraId="608E3D97" w14:textId="77777777" w:rsidR="00662C26" w:rsidRDefault="00662C26" w:rsidP="009947A4"/>
    <w:p w14:paraId="108A5917" w14:textId="7674FA17" w:rsidR="00662C26" w:rsidRDefault="00662C26" w:rsidP="009947A4">
      <w:r>
        <w:rPr>
          <w:noProof/>
        </w:rPr>
        <mc:AlternateContent>
          <mc:Choice Requires="wps">
            <w:drawing>
              <wp:anchor distT="0" distB="0" distL="114300" distR="114300" simplePos="0" relativeHeight="251665408" behindDoc="0" locked="0" layoutInCell="1" allowOverlap="1" wp14:anchorId="1BFC4AEB" wp14:editId="27B8F1FB">
                <wp:simplePos x="0" y="0"/>
                <wp:positionH relativeFrom="column">
                  <wp:posOffset>2411170</wp:posOffset>
                </wp:positionH>
                <wp:positionV relativeFrom="paragraph">
                  <wp:posOffset>469526</wp:posOffset>
                </wp:positionV>
                <wp:extent cx="2420471" cy="340659"/>
                <wp:effectExtent l="0" t="0" r="5715" b="2540"/>
                <wp:wrapNone/>
                <wp:docPr id="38881754" name="Text Box 1"/>
                <wp:cNvGraphicFramePr/>
                <a:graphic xmlns:a="http://schemas.openxmlformats.org/drawingml/2006/main">
                  <a:graphicData uri="http://schemas.microsoft.com/office/word/2010/wordprocessingShape">
                    <wps:wsp>
                      <wps:cNvSpPr txBox="1"/>
                      <wps:spPr>
                        <a:xfrm>
                          <a:off x="0" y="0"/>
                          <a:ext cx="2420471" cy="340659"/>
                        </a:xfrm>
                        <a:prstGeom prst="rect">
                          <a:avLst/>
                        </a:prstGeom>
                        <a:solidFill>
                          <a:schemeClr val="lt1"/>
                        </a:solidFill>
                        <a:ln w="6350">
                          <a:noFill/>
                        </a:ln>
                      </wps:spPr>
                      <wps:txbx>
                        <w:txbxContent>
                          <w:p w14:paraId="07ECD8C2" w14:textId="42D9F17F" w:rsidR="00662C26" w:rsidRDefault="00662C26" w:rsidP="00662C26">
                            <w:r>
                              <w:t xml:space="preserve">Sample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C4AEB" id="_x0000_s1028" type="#_x0000_t202" style="position:absolute;margin-left:189.85pt;margin-top:36.95pt;width:190.6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" fillcolor="white [3201]" stroked="f" strokeweight=".5pt">
                <v:textbox>
                  <w:txbxContent>
                    <w:p w14:paraId="07ECD8C2" w14:textId="42D9F17F" w:rsidR="00662C26" w:rsidRDefault="00662C26" w:rsidP="00662C26">
                      <w:r>
                        <w:t xml:space="preserve">Sample </w:t>
                      </w:r>
                      <w:r>
                        <w:t>3</w:t>
                      </w:r>
                    </w:p>
                  </w:txbxContent>
                </v:textbox>
              </v:shape>
            </w:pict>
          </mc:Fallback>
        </mc:AlternateContent>
      </w:r>
      <w:r w:rsidRPr="00662C26">
        <w:drawing>
          <wp:inline distT="0" distB="0" distL="0" distR="0" wp14:anchorId="36151902" wp14:editId="2E33D059">
            <wp:extent cx="2223135" cy="1278506"/>
            <wp:effectExtent l="0" t="0" r="0" b="4445"/>
            <wp:docPr id="1812963262"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63262" name="Picture 1" descr="A number of numbers and symbols&#10;&#10;Description automatically generated with medium confidence"/>
                    <pic:cNvPicPr/>
                  </pic:nvPicPr>
                  <pic:blipFill>
                    <a:blip r:embed="rId11"/>
                    <a:stretch>
                      <a:fillRect/>
                    </a:stretch>
                  </pic:blipFill>
                  <pic:spPr>
                    <a:xfrm>
                      <a:off x="0" y="0"/>
                      <a:ext cx="2235485" cy="1285608"/>
                    </a:xfrm>
                    <a:prstGeom prst="rect">
                      <a:avLst/>
                    </a:prstGeom>
                  </pic:spPr>
                </pic:pic>
              </a:graphicData>
            </a:graphic>
          </wp:inline>
        </w:drawing>
      </w:r>
    </w:p>
    <w:p w14:paraId="6315F704" w14:textId="77777777" w:rsidR="00662C26" w:rsidRDefault="00662C26" w:rsidP="009947A4"/>
    <w:p w14:paraId="3E445B47" w14:textId="65017FCF" w:rsidR="00662C26" w:rsidRDefault="00CF21C6" w:rsidP="009947A4">
      <w:r>
        <w:t xml:space="preserve">It </w:t>
      </w:r>
      <w:r w:rsidR="00662C26">
        <w:t xml:space="preserve">is </w:t>
      </w:r>
      <w:r>
        <w:t xml:space="preserve">highly </w:t>
      </w:r>
      <w:r w:rsidR="00662C26">
        <w:t xml:space="preserve">unlikely that it is a sequencing error because the duplicated section of the genome spans thousands of consecutive bases, </w:t>
      </w:r>
      <w:r>
        <w:t>whilst illumina only sequences reads of a few hundred bases at a time. This means that a gene duplication event must have occurred, which explains the high number of indels in sample 1, compared to the complete lack of them in samples 2 and 3. This is because, when an organism has two copies of the same section of DNA one of the copies can mutate freely, without detriment to the organism, as the other copy exists almost as a ‘back-up’ to preserve the initial function of the gene.</w:t>
      </w:r>
    </w:p>
    <w:p w14:paraId="4B9CA7B7" w14:textId="77777777" w:rsidR="00F73541" w:rsidRDefault="00F73541" w:rsidP="009947A4"/>
    <w:p w14:paraId="3EA78C0C" w14:textId="77777777" w:rsidR="00F73541" w:rsidRDefault="00F73541" w:rsidP="009947A4"/>
    <w:p w14:paraId="71336FE2" w14:textId="77777777" w:rsidR="00F73541" w:rsidRDefault="00F73541" w:rsidP="009947A4"/>
    <w:p w14:paraId="176BDCEC" w14:textId="77777777" w:rsidR="00F73541" w:rsidRDefault="00F73541" w:rsidP="009947A4"/>
    <w:p w14:paraId="13685172" w14:textId="1A6F703B" w:rsidR="00F73541" w:rsidRDefault="00F73541" w:rsidP="009947A4">
      <w:r>
        <w:t>Reference:</w:t>
      </w:r>
    </w:p>
    <w:p w14:paraId="47E1EA24" w14:textId="77777777" w:rsidR="00F73541" w:rsidRDefault="00F73541" w:rsidP="00F73541">
      <w:pPr>
        <w:framePr w:wrap="auto" w:vAnchor="page" w:hAnchor="page" w:x="1271" w:y="2203"/>
        <w:divId w:val="1931504243"/>
        <w:rPr>
          <w:rFonts w:eastAsia="Times New Roman"/>
          <w:kern w:val="0"/>
          <w14:ligatures w14:val="none"/>
        </w:rPr>
      </w:pPr>
      <w:r>
        <w:rPr>
          <w:rFonts w:eastAsia="Times New Roman"/>
        </w:rPr>
        <w:t xml:space="preserve">Tan, A., </w:t>
      </w:r>
      <w:proofErr w:type="spellStart"/>
      <w:r>
        <w:rPr>
          <w:rFonts w:eastAsia="Times New Roman"/>
        </w:rPr>
        <w:t>Abecasis</w:t>
      </w:r>
      <w:proofErr w:type="spellEnd"/>
      <w:r>
        <w:rPr>
          <w:rFonts w:eastAsia="Times New Roman"/>
        </w:rPr>
        <w:t xml:space="preserve">, G.R. and Kang, H.M., 2015. Unified representation of genetic variants. </w:t>
      </w:r>
      <w:r>
        <w:rPr>
          <w:rFonts w:eastAsia="Times New Roman"/>
          <w:i/>
          <w:iCs/>
        </w:rPr>
        <w:t>Bioinformatics</w:t>
      </w:r>
      <w:r>
        <w:rPr>
          <w:rFonts w:eastAsia="Times New Roman"/>
        </w:rPr>
        <w:t xml:space="preserve"> [Online], 31(13). Available from: https://doi.org/10.1093/bioinformatics/btv112.</w:t>
      </w:r>
    </w:p>
    <w:p w14:paraId="7BEA97D9" w14:textId="77777777" w:rsidR="00F73541" w:rsidRDefault="00F73541" w:rsidP="009947A4"/>
    <w:p w14:paraId="68725A3F" w14:textId="77777777" w:rsidR="00F73541" w:rsidRDefault="00F73541" w:rsidP="009947A4"/>
    <w:p w14:paraId="5A0A289B" w14:textId="77777777" w:rsidR="00F73541" w:rsidRDefault="00F73541" w:rsidP="009947A4"/>
    <w:p w14:paraId="0A19528B" w14:textId="77777777" w:rsidR="00F73541" w:rsidRDefault="00F73541" w:rsidP="009947A4"/>
    <w:p w14:paraId="5D30FDC2" w14:textId="77777777" w:rsidR="00F73541" w:rsidRDefault="00F73541" w:rsidP="009947A4"/>
    <w:p w14:paraId="4D2AE41F" w14:textId="2CD4FAEA" w:rsidR="00F73541" w:rsidRPr="005E403C" w:rsidRDefault="00F73541" w:rsidP="009947A4"/>
    <w:sectPr w:rsidR="00F73541" w:rsidRPr="005E4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C263B"/>
    <w:multiLevelType w:val="hybridMultilevel"/>
    <w:tmpl w:val="5C92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0A4947"/>
    <w:multiLevelType w:val="hybridMultilevel"/>
    <w:tmpl w:val="AF421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7542C2"/>
    <w:multiLevelType w:val="hybridMultilevel"/>
    <w:tmpl w:val="D43EE5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6978240">
    <w:abstractNumId w:val="2"/>
  </w:num>
  <w:num w:numId="2" w16cid:durableId="604583567">
    <w:abstractNumId w:val="1"/>
  </w:num>
  <w:num w:numId="3" w16cid:durableId="200050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E8"/>
    <w:rsid w:val="000D0D19"/>
    <w:rsid w:val="00351FC6"/>
    <w:rsid w:val="004432AD"/>
    <w:rsid w:val="005D08B9"/>
    <w:rsid w:val="005E403C"/>
    <w:rsid w:val="00662C26"/>
    <w:rsid w:val="009947A4"/>
    <w:rsid w:val="00A73D68"/>
    <w:rsid w:val="00AB332D"/>
    <w:rsid w:val="00B205C3"/>
    <w:rsid w:val="00B872E8"/>
    <w:rsid w:val="00CF21C6"/>
    <w:rsid w:val="00D265B4"/>
    <w:rsid w:val="00E718A9"/>
    <w:rsid w:val="00E84C50"/>
    <w:rsid w:val="00F45B80"/>
    <w:rsid w:val="00F73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BFE7"/>
  <w15:chartTrackingRefBased/>
  <w15:docId w15:val="{22C3E903-54FC-0B44-8C54-1AC22798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B87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2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2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2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2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2E8"/>
    <w:rPr>
      <w:rFonts w:eastAsiaTheme="majorEastAsia" w:cstheme="majorBidi"/>
      <w:color w:val="272727" w:themeColor="text1" w:themeTint="D8"/>
    </w:rPr>
  </w:style>
  <w:style w:type="paragraph" w:styleId="Title">
    <w:name w:val="Title"/>
    <w:basedOn w:val="Normal"/>
    <w:next w:val="Normal"/>
    <w:link w:val="TitleChar"/>
    <w:uiPriority w:val="10"/>
    <w:qFormat/>
    <w:rsid w:val="00B872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2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2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72E8"/>
    <w:rPr>
      <w:i/>
      <w:iCs/>
      <w:color w:val="404040" w:themeColor="text1" w:themeTint="BF"/>
    </w:rPr>
  </w:style>
  <w:style w:type="paragraph" w:styleId="ListParagraph">
    <w:name w:val="List Paragraph"/>
    <w:basedOn w:val="Normal"/>
    <w:uiPriority w:val="34"/>
    <w:qFormat/>
    <w:rsid w:val="00B872E8"/>
    <w:pPr>
      <w:ind w:left="720"/>
      <w:contextualSpacing/>
    </w:pPr>
  </w:style>
  <w:style w:type="character" w:styleId="IntenseEmphasis">
    <w:name w:val="Intense Emphasis"/>
    <w:basedOn w:val="DefaultParagraphFont"/>
    <w:uiPriority w:val="21"/>
    <w:qFormat/>
    <w:rsid w:val="00B872E8"/>
    <w:rPr>
      <w:i/>
      <w:iCs/>
      <w:color w:val="2F5496" w:themeColor="accent1" w:themeShade="BF"/>
    </w:rPr>
  </w:style>
  <w:style w:type="paragraph" w:styleId="IntenseQuote">
    <w:name w:val="Intense Quote"/>
    <w:basedOn w:val="Normal"/>
    <w:next w:val="Normal"/>
    <w:link w:val="IntenseQuoteChar"/>
    <w:uiPriority w:val="30"/>
    <w:qFormat/>
    <w:rsid w:val="00B87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2E8"/>
    <w:rPr>
      <w:i/>
      <w:iCs/>
      <w:color w:val="2F5496" w:themeColor="accent1" w:themeShade="BF"/>
    </w:rPr>
  </w:style>
  <w:style w:type="character" w:styleId="IntenseReference">
    <w:name w:val="Intense Reference"/>
    <w:basedOn w:val="DefaultParagraphFont"/>
    <w:uiPriority w:val="32"/>
    <w:qFormat/>
    <w:rsid w:val="00B872E8"/>
    <w:rPr>
      <w:b/>
      <w:bCs/>
      <w:smallCaps/>
      <w:color w:val="2F5496" w:themeColor="accent1" w:themeShade="BF"/>
      <w:spacing w:val="5"/>
    </w:rPr>
  </w:style>
  <w:style w:type="character" w:styleId="PlaceholderText">
    <w:name w:val="Placeholder Text"/>
    <w:basedOn w:val="DefaultParagraphFont"/>
    <w:uiPriority w:val="99"/>
    <w:semiHidden/>
    <w:rsid w:val="00D265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0931">
      <w:bodyDiv w:val="1"/>
      <w:marLeft w:val="0"/>
      <w:marRight w:val="0"/>
      <w:marTop w:val="0"/>
      <w:marBottom w:val="0"/>
      <w:divBdr>
        <w:top w:val="none" w:sz="0" w:space="0" w:color="auto"/>
        <w:left w:val="none" w:sz="0" w:space="0" w:color="auto"/>
        <w:bottom w:val="none" w:sz="0" w:space="0" w:color="auto"/>
        <w:right w:val="none" w:sz="0" w:space="0" w:color="auto"/>
      </w:divBdr>
      <w:divsChild>
        <w:div w:id="1127771385">
          <w:marLeft w:val="0"/>
          <w:marRight w:val="0"/>
          <w:marTop w:val="0"/>
          <w:marBottom w:val="0"/>
          <w:divBdr>
            <w:top w:val="none" w:sz="0" w:space="0" w:color="auto"/>
            <w:left w:val="none" w:sz="0" w:space="0" w:color="auto"/>
            <w:bottom w:val="none" w:sz="0" w:space="0" w:color="auto"/>
            <w:right w:val="none" w:sz="0" w:space="0" w:color="auto"/>
          </w:divBdr>
        </w:div>
      </w:divsChild>
    </w:div>
    <w:div w:id="1871987780">
      <w:bodyDiv w:val="1"/>
      <w:marLeft w:val="0"/>
      <w:marRight w:val="0"/>
      <w:marTop w:val="0"/>
      <w:marBottom w:val="0"/>
      <w:divBdr>
        <w:top w:val="none" w:sz="0" w:space="0" w:color="auto"/>
        <w:left w:val="none" w:sz="0" w:space="0" w:color="auto"/>
        <w:bottom w:val="none" w:sz="0" w:space="0" w:color="auto"/>
        <w:right w:val="none" w:sz="0" w:space="0" w:color="auto"/>
      </w:divBdr>
      <w:divsChild>
        <w:div w:id="1931504243">
          <w:marLeft w:val="0"/>
          <w:marRight w:val="0"/>
          <w:marTop w:val="0"/>
          <w:marBottom w:val="0"/>
          <w:divBdr>
            <w:top w:val="none" w:sz="0" w:space="0" w:color="auto"/>
            <w:left w:val="none" w:sz="0" w:space="0" w:color="auto"/>
            <w:bottom w:val="none" w:sz="0" w:space="0" w:color="auto"/>
            <w:right w:val="none" w:sz="0" w:space="0" w:color="auto"/>
          </w:divBdr>
        </w:div>
      </w:divsChild>
    </w:div>
    <w:div w:id="2048488582">
      <w:bodyDiv w:val="1"/>
      <w:marLeft w:val="0"/>
      <w:marRight w:val="0"/>
      <w:marTop w:val="0"/>
      <w:marBottom w:val="0"/>
      <w:divBdr>
        <w:top w:val="none" w:sz="0" w:space="0" w:color="auto"/>
        <w:left w:val="none" w:sz="0" w:space="0" w:color="auto"/>
        <w:bottom w:val="none" w:sz="0" w:space="0" w:color="auto"/>
        <w:right w:val="none" w:sz="0" w:space="0" w:color="auto"/>
      </w:divBdr>
      <w:divsChild>
        <w:div w:id="8828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DBA21BE-EE96-904E-A43F-10F9BA8D708A}"/>
      </w:docPartPr>
      <w:docPartBody>
        <w:p w:rsidR="00000000" w:rsidRDefault="00E6120E">
          <w:r w:rsidRPr="005971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0E"/>
    <w:rsid w:val="008E7492"/>
    <w:rsid w:val="00E61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20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AE6260-B2CF-DC40-B1A5-3F62958093CD}">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6c026ca4-a83e-4100-a054-87912600cf35&quot;,&quot;properties&quot;:{&quot;noteIndex&quot;:0},&quot;isEdited&quot;:false,&quot;manualOverride&quot;:{&quot;isManuallyOverridden&quot;:true,&quot;citeprocText&quot;:&quot;(Tan, Abecasis and Kang, 2015)&quot;,&quot;manualOverrideText&quot;:&quot;Tan et al., (2015)&quot;},&quot;citationTag&quot;:&quot;MENDELEY_CITATION_v3_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&quot;,&quot;citationItems&quot;:[{&quot;id&quot;:&quot;b0e87c59-ffa9-34cc-a81f-d85f620c84c9&quot;,&quot;itemData&quot;:{&quot;type&quot;:&quot;article-journal&quot;,&quot;id&quot;:&quot;b0e87c59-ffa9-34cc-a81f-d85f620c84c9&quot;,&quot;title&quot;:&quot;Unified representation of genetic variants&quot;,&quot;author&quot;:[{&quot;family&quot;:&quot;Tan&quot;,&quot;given&quot;:&quot;Adrian&quot;,&quot;parse-names&quot;:false,&quot;dropping-particle&quot;:&quot;&quot;,&quot;non-dropping-particle&quot;:&quot;&quot;},{&quot;family&quot;:&quot;Abecasis&quot;,&quot;given&quot;:&quot;Gonçalo R.&quot;,&quot;parse-names&quot;:false,&quot;dropping-particle&quot;:&quot;&quot;,&quot;non-dropping-particle&quot;:&quot;&quot;},{&quot;family&quot;:&quot;Kang&quot;,&quot;given&quot;:&quot;Hyun Min&quot;,&quot;parse-names&quot;:false,&quot;dropping-particle&quot;:&quot;&quot;,&quot;non-dropping-particle&quot;:&quot;&quot;}],&quot;container-title&quot;:&quot;Bioinformatics&quot;,&quot;DOI&quot;:&quot;10.1093/bioinformatics/btv112&quot;,&quot;ISSN&quot;:&quot;14602059&quot;,&quot;issued&quot;:{&quot;date-parts&quot;:[[2015]]},&quot;abstract&quot;:&quot;Summary: A genetic variant can be represented in the Variant Call Format (VCF) in multiple different ways. Inconsistent representation of variants between variant callers and analyses will magnify discrepancies between them and complicate variant filtering and duplicate removal. We present a software tool vt normalize that normalizes representation of genetic variants in the VCF. We formally define variant normalization as the consistent representation of genetic variants in an unambiguous and concise way and derive a simple general algorithm to enforce it. We demonstrate the inconsistent representation of variants across existing sequence analysis tools and show that our tool facilitates integration of diverse variant types and call sets. Availability and implementation: The source code is available for download at http://github.com/atks/vt. More detailed documentation is available at http://genome.sph.umich.edu/wiki/Variant-Normalization.&quot;,&quot;issue&quot;:&quot;13&quot;,&quot;volume&quot;:&quot;31&quot;,&quot;container-title-short&quot;:&quot;&quot;},&quot;isTemporary&quot;:false}]}]"/>
    <we:property name="MENDELEY_CITATIONS_LOCALE_CODE" value="&quot;en-GB&quot;"/>
    <we:property name="MENDELEY_CITATIONS_STYLE" value="{&quot;id&quot;:&quot;https://www.zotero.org/styles/harvard-university-of-bath&quot;,&quot;title&quot;:&quot;University of Bat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51B35-E1EF-A348-B9CA-FB43F18D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dc:creator>
  <cp:keywords/>
  <dc:description/>
  <cp:lastModifiedBy>Williams, Ben</cp:lastModifiedBy>
  <cp:revision>5</cp:revision>
  <dcterms:created xsi:type="dcterms:W3CDTF">2024-12-11T08:30:00Z</dcterms:created>
  <dcterms:modified xsi:type="dcterms:W3CDTF">2024-12-11T10:41:00Z</dcterms:modified>
</cp:coreProperties>
</file>