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top w:type="dxa" w:w="0"/>
              <w:left w:type="dxa" w:w="1200"/>
              <w:bottom w:type="dxa" w:w="0"/>
              <w:right w:type="dxa" w:w="1200"/>
            </w:tcMar>
          </w:tcPr>
          <w:p>
            <w:pPr>
              <w:spacing w:before="4200"/>
            </w:pPr>
          </w:p>
          <w:p>
            <w:pPr>
              <w:spacing w:after="200" w:line="828"/>
            </w:pPr>
            <w:r>
              <w:rPr>
                <w:rFonts w:ascii="Calibri"/>
                <w:b/>
                <w:bCs/>
                <w:color w:val="37DCF2"/>
                <w:sz w:val="72"/>
                <w:szCs w:val="72"/>
              </w:rPr>
              <w:t xml:space="preserve">MineLens AI</w:t>
            </w:r>
          </w:p>
          <w:p>
            <w:pPr>
              <w:spacing w:after="300" w:line="400"/>
            </w:pPr>
            <w:r>
              <w:rPr>
                <w:rFonts w:ascii="Calibri"/>
                <w:color w:val="FFFFFF"/>
                <w:sz w:val="36"/>
                <w:szCs w:val="36"/>
              </w:rPr>
              <w:t xml:space="preserve">Critical Mineral Prospectivity Mapping</w:t>
            </w:r>
          </w:p>
          <w:p>
            <w:pPr>
              <w:spacing w:after="100" w:line="312"/>
            </w:pPr>
            <w:r>
              <w:rPr>
                <w:rFonts w:ascii="Calibri"/>
                <w:color w:val="B0B8C0"/>
                <w:sz w:val="24"/>
                <w:szCs w:val="24"/>
              </w:rPr>
              <w:t xml:space="preserve">Powered by Gemma 4 Function Calling</w:t>
            </w:r>
          </w:p>
          <w:p>
            <w:pPr>
              <w:spacing w:before="1600"/>
            </w:pPr>
          </w:p>
          <w:p>
            <w:pPr>
              <w:spacing w:after="80" w:line="312"/>
            </w:pPr>
            <w:r>
              <w:rPr>
                <w:rFonts w:ascii="Calibri"/>
                <w:color w:val="90989F"/>
                <w:sz w:val="20"/>
                <w:szCs w:val="20"/>
              </w:rPr>
              <w:t xml:space="preserve">Gemma 4 Good Hackathon | Kaggle</w:t>
            </w:r>
          </w:p>
          <w:p>
            <w:pPr>
              <w:spacing w:after="80" w:line="312"/>
            </w:pPr>
            <w:r>
              <w:rPr>
                <w:rFonts w:ascii="Calibri"/>
                <w:color w:val="90989F"/>
                <w:sz w:val="20"/>
                <w:szCs w:val="20"/>
              </w:rPr>
              <w:t xml:space="preserve">Technical Writeup | April 2026</w:t>
            </w:r>
          </w:p>
        </w:tc>
      </w:tr>
    </w:tbl>
    <w:p>
      <w:pPr>
        <w:sectPr>
          <w:pgSz w:w="11906" w:h="16838" w:orient="portrait"/>
          <w:pgMar w:top="0" w:right="0" w:bottom="0" w:left="0" w:header="708" w:footer="708" w:gutter="0"/>
          <w:pgNumType/>
          <w:docGrid w:linePitch="360"/>
        </w:sectPr>
      </w:pPr>
    </w:p>
    <w:p>
      <w:pPr>
        <w:spacing w:after="200" w:before="200" w:line="312"/>
      </w:pPr>
      <w:r>
        <w:rPr>
          <w:rFonts w:ascii="Calibri"/>
          <w:b/>
          <w:bCs/>
          <w:color w:val="1A2B4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The Critical Minerals Challenge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Current Exploration Bottlenecks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Why This Matters Now</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Solution Architecture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System Overview</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Agentic Pipeline Design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Technology Stack</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Gemma 4 Function Calling Integration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4.1 Function Calling Mechanism</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Multimodal Capability</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Conversation Management</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5. Specialized Geoscience Tools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Spectral Analysis (spectral_analysis)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Terrain Classification (terrain_classifier)</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5.3 Proximity Search (proximity_search)</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5.4 Risk Assessment (risk_assessment)</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5.5 Report Generation (generate_report)</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5.6 Geological Survey Lookup (geological_survey_lookup)</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Technical Implementation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6.1 Data Pipeline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6.2 API Architecture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Frontend Dashboard</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7. Results and Demonstration</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7.1 Case Study: Atacama Desert, Chile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7.2 Agentic Pipeline Execution</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8. Impact and Vision</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8.1 Near-Term Impact</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8.2 Long-Term Vision</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8.3 Alignment with Sustainable Development Goals</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9. Conclusion</w:t>
            </w:r>
            <w:r>
              <w:tab/>
            </w:r>
            <w:r>
              <w:fldChar w:fldCharType="begin"/>
            </w:r>
            <w:r>
              <w:instrText xml:space="preserve"> PAGEREF _Toc100031 \h </w:instrText>
            </w:r>
            <w:r>
              <w:fldChar w:fldCharType="separate"/>
            </w:r>
            <w:r>
              <w:t>10</w:t>
            </w:r>
            <w:r>
              <w:fldChar w:fldCharType="end"/>
            </w:r>
          </w:hyperlink>
        </w:p>
        <w:p>
          <w:r>
            <w:fldChar w:fldCharType="end"/>
          </w:r>
        </w:p>
      </w:sdtContent>
    </w:sdt>
    <w:p>
      <w:r>
        <w:br w:type="page"/>
      </w:r>
    </w:p>
    <w:p>
      <w:pPr>
        <w:pStyle w:val="Heading1"/>
        <w:spacing w:after="200" w:before="480" w:line="312"/>
      </w:pPr>
      <w:bookmarkStart w:id="100000" w:name="_Toc100000"/>
      <w:r>
        <w:rPr>
          <w:rFonts w:ascii="Calibri"/>
          <w:b/>
          <w:bCs/>
          <w:color w:val="1A2B40"/>
          <w:sz w:val="32"/>
          <w:szCs w:val="32"/>
        </w:rPr>
        <w:t xml:space="preserve">1. Executive Summary</w:t>
      </w:r>
      <w:bookmarkEnd w:id="100000"/>
    </w:p>
    <w:p>
      <w:pPr>
        <w:spacing w:after="120" w:line="312"/>
        <w:jc w:val="both"/>
      </w:pPr>
      <w:r>
        <w:rPr>
          <w:rFonts w:ascii="Calibri"/>
          <w:color w:val="1A2B40"/>
          <w:sz w:val="22"/>
          <w:szCs w:val="22"/>
        </w:rPr>
        <w:t xml:space="preserve">MineLens AI is a geoscience application that leverages Gemma 4's native function calling capability to automate mineral prospectivity assessment. The platform addresses a critical bottleneck in the global energy transition: the slow, expensive, and expertise-intensive process of identifying new sources of critical minerals such as lithium, cobalt, rare earth elements, copper, and nickel.</w:t>
      </w:r>
    </w:p>
    <w:p>
      <w:pPr>
        <w:spacing w:after="120" w:line="312"/>
        <w:jc w:val="both"/>
      </w:pPr>
      <w:r>
        <w:rPr>
          <w:rFonts w:ascii="Calibri"/>
          <w:color w:val="1A2B40"/>
          <w:sz w:val="22"/>
          <w:szCs w:val="22"/>
        </w:rPr>
        <w:t xml:space="preserve">The system orchestrates six specialized analytical tools through an agentic pipeline. When a user specifies a geographic location and target minerals, Gemma 4 autonomously determines which tools to invoke, in what sequence, and how to synthesize their results into a comprehensive prospectivity report. This approach transforms what traditionally requires months of expert analysis into an interactive session measured in seconds.</w:t>
      </w:r>
    </w:p>
    <w:p>
      <w:pPr>
        <w:spacing w:after="120" w:line="312"/>
        <w:jc w:val="both"/>
      </w:pPr>
      <w:r>
        <w:rPr>
          <w:rFonts w:ascii="Calibri"/>
          <w:color w:val="1A2B40"/>
          <w:sz w:val="22"/>
          <w:szCs w:val="22"/>
        </w:rPr>
        <w:t xml:space="preserve">The core innovation lies in applying large language model function calling to a domain that has traditionally relied on specialized GIS software and geological expertise. By encoding geoscientific knowledge into structured tool interfaces, MineLens AI democratizes access to advanced mineral exploration capabilities while maintaining scientific rigor through established geological databases and assessment methodologies.</w:t>
      </w:r>
    </w:p>
    <w:p>
      <w:pPr>
        <w:pStyle w:val="Heading1"/>
        <w:spacing w:after="200" w:before="480" w:line="312"/>
      </w:pPr>
      <w:bookmarkStart w:id="100001" w:name="_Toc100001"/>
      <w:r>
        <w:rPr>
          <w:rFonts w:ascii="Calibri"/>
          <w:b/>
          <w:bCs/>
          <w:color w:val="1A2B40"/>
          <w:sz w:val="32"/>
          <w:szCs w:val="32"/>
        </w:rPr>
        <w:t xml:space="preserve">2. Problem Statement</w:t>
      </w:r>
      <w:bookmarkEnd w:id="100001"/>
    </w:p>
    <w:p>
      <w:pPr>
        <w:pStyle w:val="Heading2"/>
        <w:spacing w:after="160" w:before="360" w:line="312"/>
      </w:pPr>
      <w:bookmarkStart w:id="100002" w:name="_Toc100002"/>
      <w:r>
        <w:rPr>
          <w:rFonts w:ascii="Calibri"/>
          <w:b/>
          <w:bCs/>
          <w:color w:val="1A2B40"/>
          <w:sz w:val="26"/>
          <w:szCs w:val="26"/>
        </w:rPr>
        <w:t xml:space="preserve">2.1 The Critical Minerals Challenge</w:t>
      </w:r>
      <w:bookmarkEnd w:id="100002"/>
    </w:p>
    <w:p>
      <w:pPr>
        <w:spacing w:after="120" w:line="312"/>
        <w:jc w:val="both"/>
      </w:pPr>
      <w:r>
        <w:rPr>
          <w:rFonts w:ascii="Calibri"/>
          <w:color w:val="1A2B40"/>
          <w:sz w:val="22"/>
          <w:szCs w:val="22"/>
        </w:rPr>
        <w:t xml:space="preserve">The global energy transition depends on a reliable supply of critical minerals. Electric vehicle batteries require lithium, cobalt, and nickel. Wind turbines and solar panels demand rare earth elements, copper, and silver. The International Energy Agency projects that demand for lithium will increase 40-fold by 2040, while rare earth demand is expected to grow 7-fold. Yet mineral exploration remains one of the slowest and most capital-intensive stages of the supply chain, with average discovery timelines spanning 10 to 15 years from initial survey to production.</w:t>
      </w:r>
    </w:p>
    <w:p>
      <w:pPr>
        <w:pStyle w:val="Heading2"/>
        <w:spacing w:after="160" w:before="360" w:line="312"/>
      </w:pPr>
      <w:bookmarkStart w:id="100003" w:name="_Toc100003"/>
      <w:r>
        <w:rPr>
          <w:rFonts w:ascii="Calibri"/>
          <w:b/>
          <w:bCs/>
          <w:color w:val="1A2B40"/>
          <w:sz w:val="26"/>
          <w:szCs w:val="26"/>
        </w:rPr>
        <w:t xml:space="preserve">2.2 Current Exploration Bottlenecks</w:t>
      </w:r>
      <w:bookmarkEnd w:id="100003"/>
    </w:p>
    <w:p>
      <w:pPr>
        <w:spacing w:after="120" w:line="312"/>
        <w:jc w:val="both"/>
      </w:pPr>
      <w:r>
        <w:rPr>
          <w:rFonts w:ascii="Calibri"/>
          <w:color w:val="1A2B40"/>
          <w:sz w:val="22"/>
          <w:szCs w:val="22"/>
        </w:rPr>
        <w:t xml:space="preserve">Traditional mineral exploration requires integrating data from multiple disparate sources: satellite imagery for spectral analysis, digital elevation models for terrain classification, geological survey databases for historical context, and geopolitical risk assessments for investment decisions. Each of these data sources requires specialized software and domain expertise to interpret. The process of synthesizing these analyses into a coherent prospectivity assessment is typically performed by teams of geologists, GIS analysts, and investment advisors over weeks or months.</w:t>
      </w:r>
    </w:p>
    <w:p>
      <w:pPr>
        <w:spacing w:after="120" w:line="312"/>
        <w:jc w:val="both"/>
      </w:pPr>
      <w:r>
        <w:rPr>
          <w:rFonts w:ascii="Calibri"/>
          <w:color w:val="1A2B40"/>
          <w:sz w:val="22"/>
          <w:szCs w:val="22"/>
        </w:rPr>
        <w:t xml:space="preserve">This creates three fundamental problems. First, the high cost of exploration ($50-500 million per discovery) limits the number of projects that can be pursued. Second, the scarcity of qualified geoscientists creates a talent bottleneck, particularly in developing nations that host many of the world's untapped mineral resources. Third, the fragmented nature of exploration tools and data sources makes it difficult to perform holistic assessments that consider geological, environmental, and geopolitical factors simultaneously.</w:t>
      </w:r>
    </w:p>
    <w:p>
      <w:pPr>
        <w:pStyle w:val="Heading2"/>
        <w:spacing w:after="160" w:before="360" w:line="312"/>
      </w:pPr>
      <w:bookmarkStart w:id="100004" w:name="_Toc100004"/>
      <w:r>
        <w:rPr>
          <w:rFonts w:ascii="Calibri"/>
          <w:b/>
          <w:bCs/>
          <w:color w:val="1A2B40"/>
          <w:sz w:val="26"/>
          <w:szCs w:val="26"/>
        </w:rPr>
        <w:t xml:space="preserve">2.3 Why This Matters Now</w:t>
      </w:r>
      <w:bookmarkEnd w:id="100004"/>
    </w:p>
    <w:p>
      <w:pPr>
        <w:spacing w:after="120" w:line="312"/>
        <w:jc w:val="both"/>
      </w:pPr>
      <w:r>
        <w:rPr>
          <w:rFonts w:ascii="Calibri"/>
          <w:color w:val="1A2B40"/>
          <w:sz w:val="22"/>
          <w:szCs w:val="22"/>
        </w:rPr>
        <w:t xml:space="preserve">The concentration of critical mineral supply chains in a small number of countries poses significant geopolitical risks. China controls approximately 60% of global rare earth mining and 90% of processing. The Democratic Republic of Congo produces over 70% of the world's cobalt. These supply concentrations create vulnerabilities for nations pursuing energy independence and climate goals. Accelerating mineral discovery through AI-powered tools is not merely an efficiency improvement; it is a strategic imperative for global energy security.</w:t>
      </w:r>
    </w:p>
    <w:p>
      <w:pPr>
        <w:pStyle w:val="Heading1"/>
        <w:spacing w:after="200" w:before="480" w:line="312"/>
      </w:pPr>
      <w:bookmarkStart w:id="100005" w:name="_Toc100005"/>
      <w:r>
        <w:rPr>
          <w:rFonts w:ascii="Calibri"/>
          <w:b/>
          <w:bCs/>
          <w:color w:val="1A2B40"/>
          <w:sz w:val="32"/>
          <w:szCs w:val="32"/>
        </w:rPr>
        <w:t xml:space="preserve">3. Solution Architecture</w:t>
      </w:r>
      <w:bookmarkEnd w:id="100005"/>
    </w:p>
    <w:p>
      <w:pPr>
        <w:pStyle w:val="Heading2"/>
        <w:spacing w:after="160" w:before="360" w:line="312"/>
      </w:pPr>
      <w:bookmarkStart w:id="100006" w:name="_Toc100006"/>
      <w:r>
        <w:rPr>
          <w:rFonts w:ascii="Calibri"/>
          <w:b/>
          <w:bCs/>
          <w:color w:val="1A2B40"/>
          <w:sz w:val="26"/>
          <w:szCs w:val="26"/>
        </w:rPr>
        <w:t xml:space="preserve">3.1 System Overview</w:t>
      </w:r>
      <w:bookmarkEnd w:id="100006"/>
    </w:p>
    <w:p>
      <w:pPr>
        <w:spacing w:after="120" w:line="312"/>
        <w:jc w:val="both"/>
      </w:pPr>
      <w:r>
        <w:rPr>
          <w:rFonts w:ascii="Calibri"/>
          <w:color w:val="1A2B40"/>
          <w:sz w:val="22"/>
          <w:szCs w:val="22"/>
        </w:rPr>
        <w:t xml:space="preserve">MineLens AI is built around an agentic architecture where Gemma 4 serves as the central reasoning engine. The system consists of three layers: a user interaction layer that provides map-based and chat-based interfaces, a reasoning layer powered by Gemma 4 that orchestrates tool calls and synthesizes results, and a tool execution layer that implements six specialized geoscience functions.</w:t>
      </w:r>
    </w:p>
    <w:p>
      <w:pPr>
        <w:spacing w:after="120" w:line="312"/>
        <w:jc w:val="both"/>
      </w:pPr>
      <w:r>
        <w:rPr>
          <w:rFonts w:ascii="Calibri"/>
          <w:color w:val="1A2B40"/>
          <w:sz w:val="22"/>
          <w:szCs w:val="22"/>
        </w:rPr>
        <w:t xml:space="preserve">The architecture is designed to leverage Gemma 4's specific strengths: native function calling for structured tool invocation, multimodal understanding for satellite imagery analysis, and long-context processing for handling comprehensive geological reports. Each tool is implemented as a standalone Python function with a well-defined schema, making the system modular and extensible.</w:t>
      </w:r>
    </w:p>
    <w:p>
      <w:pPr>
        <w:pStyle w:val="Heading2"/>
        <w:spacing w:after="160" w:before="360" w:line="312"/>
      </w:pPr>
      <w:bookmarkStart w:id="100007" w:name="_Toc100007"/>
      <w:r>
        <w:rPr>
          <w:rFonts w:ascii="Calibri"/>
          <w:b/>
          <w:bCs/>
          <w:color w:val="1A2B40"/>
          <w:sz w:val="26"/>
          <w:szCs w:val="26"/>
        </w:rPr>
        <w:t xml:space="preserve">3.2 Agentic Pipeline Design</w:t>
      </w:r>
      <w:bookmarkEnd w:id="100007"/>
    </w:p>
    <w:p>
      <w:pPr>
        <w:spacing w:after="120" w:line="312"/>
        <w:jc w:val="both"/>
      </w:pPr>
      <w:r>
        <w:rPr>
          <w:rFonts w:ascii="Calibri"/>
          <w:color w:val="1A2B40"/>
          <w:sz w:val="22"/>
          <w:szCs w:val="22"/>
        </w:rPr>
        <w:t xml:space="preserve">When a user initiates an analysis, the system constructs a prompt that includes the location, target minerals, and available tools. Gemma 4 processes this prompt and autonomously generates a sequence of tool calls. For example, when analyzing a location in the Atacama Desert for lithium, the model might invoke geological_survey_lookup first to understand the regional context, then proximity_search to identify known deposits, followed by risk_assessment to evaluate supply chain factors, and finally generate_report to compile all findings into a structured assessment.</w:t>
      </w:r>
    </w:p>
    <w:p>
      <w:pPr>
        <w:spacing w:after="120" w:line="312"/>
        <w:jc w:val="both"/>
      </w:pPr>
      <w:r>
        <w:rPr>
          <w:rFonts w:ascii="Calibri"/>
          <w:color w:val="1A2B40"/>
          <w:sz w:val="22"/>
          <w:szCs w:val="22"/>
        </w:rPr>
        <w:t xml:space="preserve">The agentic loop continues until Gemma 4 determines that sufficient information has been gathered. The model handles tool result injection, multi-turn reasoning, and context management automatically. This design allows the system to adapt its analysis strategy based on the specific geological context of each query, rather than following a rigid predefined workflow.</w:t>
      </w:r>
    </w:p>
    <w:p>
      <w:pPr>
        <w:pStyle w:val="Heading2"/>
        <w:spacing w:after="160" w:before="360" w:line="312"/>
      </w:pPr>
      <w:bookmarkStart w:id="100008" w:name="_Toc100008"/>
      <w:r>
        <w:rPr>
          <w:rFonts w:ascii="Calibri"/>
          <w:b/>
          <w:bCs/>
          <w:color w:val="1A2B40"/>
          <w:sz w:val="26"/>
          <w:szCs w:val="26"/>
        </w:rPr>
        <w:t xml:space="preserve">3.3 Technology Stack</w:t>
      </w:r>
      <w:bookmarkEnd w:id="100008"/>
    </w:p>
    <w:tbl>
      <w:tblPr>
        <w:tblW w:type="pct" w:w="100%"/>
        <w:tblBorders>
          <w:top w:val="single" w:color="C8DDE2" w:sz="2"/>
          <w:left w:val="none"/>
          <w:bottom w:val="single" w:color="C8DDE2"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00"/>
              <w:bottom w:type="dxa" w:w="60"/>
              <w:right w:type="dxa" w:w="100"/>
            </w:tcMar>
          </w:tcPr>
          <w:p>
            <w:r>
              <w:rPr>
                <w:rFonts w:ascii="Calibri"/>
                <w:b/>
                <w:bCs/>
                <w:color w:val="FFFFFF"/>
                <w:sz w:val="20"/>
                <w:szCs w:val="20"/>
              </w:rPr>
              <w:t xml:space="preserve">Component</w:t>
            </w:r>
          </w:p>
        </w:tc>
        <w:tc>
          <w:tcPr>
            <w:tcW w:type="pct" w:w="30%"/>
            <w:shd w:fill="1B6B7A" w:val="clear"/>
            <w:tcMar>
              <w:top w:type="dxa" w:w="60"/>
              <w:left w:type="dxa" w:w="100"/>
              <w:bottom w:type="dxa" w:w="60"/>
              <w:right w:type="dxa" w:w="100"/>
            </w:tcMar>
          </w:tcPr>
          <w:p>
            <w:r>
              <w:rPr>
                <w:rFonts w:ascii="Calibri"/>
                <w:b/>
                <w:bCs/>
                <w:color w:val="FFFFFF"/>
                <w:sz w:val="20"/>
                <w:szCs w:val="20"/>
              </w:rPr>
              <w:t xml:space="preserve">Technology</w:t>
            </w:r>
          </w:p>
        </w:tc>
        <w:tc>
          <w:tcPr>
            <w:tcW w:type="pct" w:w="40%"/>
            <w:shd w:fill="1B6B7A" w:val="clear"/>
            <w:tcMar>
              <w:top w:type="dxa" w:w="60"/>
              <w:left w:type="dxa" w:w="100"/>
              <w:bottom w:type="dxa" w:w="60"/>
              <w:right w:type="dxa" w:w="100"/>
            </w:tcMar>
          </w:tcPr>
          <w:p>
            <w:r>
              <w:rPr>
                <w:rFonts w:ascii="Calibri"/>
                <w:b/>
                <w:bCs/>
                <w:color w:val="FFFFFF"/>
                <w:sz w:val="20"/>
                <w:szCs w:val="20"/>
              </w:rPr>
              <w:t xml:space="preserve">Purpose</w:t>
            </w:r>
          </w:p>
        </w:tc>
      </w:tr>
      <w:tr>
        <w:trPr>
          <w:cantSplit/>
        </w:trPr>
        <w:tc>
          <w:tcPr>
            <w:tcW w:type="pct" w:w="30%"/>
            <w:tcMar>
              <w:top w:type="dxa" w:w="60"/>
              <w:left w:type="dxa" w:w="100"/>
              <w:bottom w:type="dxa" w:w="60"/>
              <w:right w:type="dxa" w:w="100"/>
            </w:tcMar>
          </w:tcPr>
          <w:p>
            <w:r>
              <w:rPr>
                <w:rFonts w:ascii="Calibri"/>
                <w:color w:val="1A2B40"/>
                <w:sz w:val="20"/>
                <w:szCs w:val="20"/>
              </w:rPr>
              <w:t xml:space="preserve">AI Model</w:t>
            </w:r>
          </w:p>
        </w:tc>
        <w:tc>
          <w:tcPr>
            <w:tcW w:type="pct" w:w="30%"/>
            <w:tcMar>
              <w:top w:type="dxa" w:w="60"/>
              <w:left w:type="dxa" w:w="100"/>
              <w:bottom w:type="dxa" w:w="60"/>
              <w:right w:type="dxa" w:w="100"/>
            </w:tcMar>
          </w:tcPr>
          <w:p>
            <w:r>
              <w:rPr>
                <w:rFonts w:ascii="Calibri"/>
                <w:color w:val="1A2B40"/>
                <w:sz w:val="20"/>
                <w:szCs w:val="20"/>
              </w:rPr>
              <w:t xml:space="preserve">Gemma 4 E2B-it</w:t>
            </w:r>
          </w:p>
        </w:tc>
        <w:tc>
          <w:tcPr>
            <w:tcW w:type="pct" w:w="40%"/>
            <w:tcMar>
              <w:top w:type="dxa" w:w="60"/>
              <w:left w:type="dxa" w:w="100"/>
              <w:bottom w:type="dxa" w:w="60"/>
              <w:right w:type="dxa" w:w="100"/>
            </w:tcMar>
          </w:tcPr>
          <w:p>
            <w:r>
              <w:rPr>
                <w:rFonts w:ascii="Calibri"/>
                <w:color w:val="1A2B40"/>
                <w:sz w:val="20"/>
                <w:szCs w:val="20"/>
              </w:rPr>
              <w:t xml:space="preserve">Function calling + multimodal reasoning</w:t>
            </w:r>
          </w:p>
        </w:tc>
      </w:tr>
      <w:tr>
        <w:trPr>
          <w:cantSplit/>
        </w:trPr>
        <w:tc>
          <w:tcPr>
            <w:tcW w:type="pct" w:w="30%"/>
            <w:shd w:fill="EDF3F5" w:val="clear"/>
            <w:tcMar>
              <w:top w:type="dxa" w:w="60"/>
              <w:left w:type="dxa" w:w="100"/>
              <w:bottom w:type="dxa" w:w="60"/>
              <w:right w:type="dxa" w:w="100"/>
            </w:tcMar>
          </w:tcPr>
          <w:p>
            <w:r>
              <w:rPr>
                <w:rFonts w:ascii="Calibri"/>
                <w:color w:val="1A2B40"/>
                <w:sz w:val="20"/>
                <w:szCs w:val="20"/>
              </w:rPr>
              <w:t xml:space="preserve">Backend</w:t>
            </w:r>
          </w:p>
        </w:tc>
        <w:tc>
          <w:tcPr>
            <w:tcW w:type="pct" w:w="30%"/>
            <w:shd w:fill="EDF3F5" w:val="clear"/>
            <w:tcMar>
              <w:top w:type="dxa" w:w="60"/>
              <w:left w:type="dxa" w:w="100"/>
              <w:bottom w:type="dxa" w:w="60"/>
              <w:right w:type="dxa" w:w="100"/>
            </w:tcMar>
          </w:tcPr>
          <w:p>
            <w:r>
              <w:rPr>
                <w:rFonts w:ascii="Calibri"/>
                <w:color w:val="1A2B40"/>
                <w:sz w:val="20"/>
                <w:szCs w:val="20"/>
              </w:rPr>
              <w:t xml:space="preserve">FastAPI + Python</w:t>
            </w:r>
          </w:p>
        </w:tc>
        <w:tc>
          <w:tcPr>
            <w:tcW w:type="pct" w:w="40%"/>
            <w:shd w:fill="EDF3F5" w:val="clear"/>
            <w:tcMar>
              <w:top w:type="dxa" w:w="60"/>
              <w:left w:type="dxa" w:w="100"/>
              <w:bottom w:type="dxa" w:w="60"/>
              <w:right w:type="dxa" w:w="100"/>
            </w:tcMar>
          </w:tcPr>
          <w:p>
            <w:r>
              <w:rPr>
                <w:rFonts w:ascii="Calibri"/>
                <w:color w:val="1A2B40"/>
                <w:sz w:val="20"/>
                <w:szCs w:val="20"/>
              </w:rPr>
              <w:t xml:space="preserve">REST API server and tool execution</w:t>
            </w:r>
          </w:p>
        </w:tc>
      </w:tr>
      <w:tr>
        <w:trPr>
          <w:cantSplit/>
        </w:trPr>
        <w:tc>
          <w:tcPr>
            <w:tcW w:type="pct" w:w="30%"/>
            <w:tcMar>
              <w:top w:type="dxa" w:w="60"/>
              <w:left w:type="dxa" w:w="100"/>
              <w:bottom w:type="dxa" w:w="60"/>
              <w:right w:type="dxa" w:w="100"/>
            </w:tcMar>
          </w:tcPr>
          <w:p>
            <w:r>
              <w:rPr>
                <w:rFonts w:ascii="Calibri"/>
                <w:color w:val="1A2B40"/>
                <w:sz w:val="20"/>
                <w:szCs w:val="20"/>
              </w:rPr>
              <w:t xml:space="preserve">Frontend</w:t>
            </w:r>
          </w:p>
        </w:tc>
        <w:tc>
          <w:tcPr>
            <w:tcW w:type="pct" w:w="30%"/>
            <w:tcMar>
              <w:top w:type="dxa" w:w="60"/>
              <w:left w:type="dxa" w:w="100"/>
              <w:bottom w:type="dxa" w:w="60"/>
              <w:right w:type="dxa" w:w="100"/>
            </w:tcMar>
          </w:tcPr>
          <w:p>
            <w:r>
              <w:rPr>
                <w:rFonts w:ascii="Calibri"/>
                <w:color w:val="1A2B40"/>
                <w:sz w:val="20"/>
                <w:szCs w:val="20"/>
              </w:rPr>
              <w:t xml:space="preserve">Next.js + Leaflet</w:t>
            </w:r>
          </w:p>
        </w:tc>
        <w:tc>
          <w:tcPr>
            <w:tcW w:type="pct" w:w="40%"/>
            <w:tcMar>
              <w:top w:type="dxa" w:w="60"/>
              <w:left w:type="dxa" w:w="100"/>
              <w:bottom w:type="dxa" w:w="60"/>
              <w:right w:type="dxa" w:w="100"/>
            </w:tcMar>
          </w:tcPr>
          <w:p>
            <w:r>
              <w:rPr>
                <w:rFonts w:ascii="Calibri"/>
                <w:color w:val="1A2B40"/>
                <w:sz w:val="20"/>
                <w:szCs w:val="20"/>
              </w:rPr>
              <w:t xml:space="preserve">Interactive map dashboard</w:t>
            </w:r>
          </w:p>
        </w:tc>
      </w:tr>
      <w:tr>
        <w:trPr>
          <w:cantSplit/>
        </w:trPr>
        <w:tc>
          <w:tcPr>
            <w:tcW w:type="pct" w:w="30%"/>
            <w:shd w:fill="EDF3F5" w:val="clear"/>
            <w:tcMar>
              <w:top w:type="dxa" w:w="60"/>
              <w:left w:type="dxa" w:w="100"/>
              <w:bottom w:type="dxa" w:w="60"/>
              <w:right w:type="dxa" w:w="100"/>
            </w:tcMar>
          </w:tcPr>
          <w:p>
            <w:r>
              <w:rPr>
                <w:rFonts w:ascii="Calibri"/>
                <w:color w:val="1A2B40"/>
                <w:sz w:val="20"/>
                <w:szCs w:val="20"/>
              </w:rPr>
              <w:t xml:space="preserve">Data Sources</w:t>
            </w:r>
          </w:p>
        </w:tc>
        <w:tc>
          <w:tcPr>
            <w:tcW w:type="pct" w:w="30%"/>
            <w:shd w:fill="EDF3F5" w:val="clear"/>
            <w:tcMar>
              <w:top w:type="dxa" w:w="60"/>
              <w:left w:type="dxa" w:w="100"/>
              <w:bottom w:type="dxa" w:w="60"/>
              <w:right w:type="dxa" w:w="100"/>
            </w:tcMar>
          </w:tcPr>
          <w:p>
            <w:r>
              <w:rPr>
                <w:rFonts w:ascii="Calibri"/>
                <w:color w:val="1A2B40"/>
                <w:sz w:val="20"/>
                <w:szCs w:val="20"/>
              </w:rPr>
              <w:t xml:space="preserve">USGS MRDS + ASTER</w:t>
            </w:r>
          </w:p>
        </w:tc>
        <w:tc>
          <w:tcPr>
            <w:tcW w:type="pct" w:w="40%"/>
            <w:shd w:fill="EDF3F5" w:val="clear"/>
            <w:tcMar>
              <w:top w:type="dxa" w:w="60"/>
              <w:left w:type="dxa" w:w="100"/>
              <w:bottom w:type="dxa" w:w="60"/>
              <w:right w:type="dxa" w:w="100"/>
            </w:tcMar>
          </w:tcPr>
          <w:p>
            <w:r>
              <w:rPr>
                <w:rFonts w:ascii="Calibri"/>
                <w:color w:val="1A2B40"/>
                <w:sz w:val="20"/>
                <w:szCs w:val="20"/>
              </w:rPr>
              <w:t xml:space="preserve">Mineral deposit databases</w:t>
            </w:r>
          </w:p>
        </w:tc>
      </w:tr>
      <w:tr>
        <w:trPr>
          <w:cantSplit/>
        </w:trPr>
        <w:tc>
          <w:tcPr>
            <w:tcW w:type="pct" w:w="30%"/>
            <w:tcMar>
              <w:top w:type="dxa" w:w="60"/>
              <w:left w:type="dxa" w:w="100"/>
              <w:bottom w:type="dxa" w:w="60"/>
              <w:right w:type="dxa" w:w="100"/>
            </w:tcMar>
          </w:tcPr>
          <w:p>
            <w:r>
              <w:rPr>
                <w:rFonts w:ascii="Calibri"/>
                <w:color w:val="1A2B40"/>
                <w:sz w:val="20"/>
                <w:szCs w:val="20"/>
              </w:rPr>
              <w:t xml:space="preserve">Deployment</w:t>
            </w:r>
          </w:p>
        </w:tc>
        <w:tc>
          <w:tcPr>
            <w:tcW w:type="pct" w:w="30%"/>
            <w:tcMar>
              <w:top w:type="dxa" w:w="60"/>
              <w:left w:type="dxa" w:w="100"/>
              <w:bottom w:type="dxa" w:w="60"/>
              <w:right w:type="dxa" w:w="100"/>
            </w:tcMar>
          </w:tcPr>
          <w:p>
            <w:r>
              <w:rPr>
                <w:rFonts w:ascii="Calibri"/>
                <w:color w:val="1A2B40"/>
                <w:sz w:val="20"/>
                <w:szCs w:val="20"/>
              </w:rPr>
              <w:t xml:space="preserve">Kaggle Notebooks</w:t>
            </w:r>
          </w:p>
        </w:tc>
        <w:tc>
          <w:tcPr>
            <w:tcW w:type="pct" w:w="40%"/>
            <w:tcMar>
              <w:top w:type="dxa" w:w="60"/>
              <w:left w:type="dxa" w:w="100"/>
              <w:bottom w:type="dxa" w:w="60"/>
              <w:right w:type="dxa" w:w="100"/>
            </w:tcMar>
          </w:tcPr>
          <w:p>
            <w:r>
              <w:rPr>
                <w:rFonts w:ascii="Calibri"/>
                <w:color w:val="1A2B40"/>
                <w:sz w:val="20"/>
                <w:szCs w:val="20"/>
              </w:rPr>
              <w:t xml:space="preserve">Cloud GPU environment</w:t>
            </w:r>
          </w:p>
        </w:tc>
      </w:tr>
    </w:tbl>
    <w:p>
      <w:pPr>
        <w:pStyle w:val="Heading1"/>
        <w:spacing w:after="200" w:before="480" w:line="312"/>
      </w:pPr>
      <w:bookmarkStart w:id="100009" w:name="_Toc100009"/>
      <w:r>
        <w:rPr>
          <w:rFonts w:ascii="Calibri"/>
          <w:b/>
          <w:bCs/>
          <w:color w:val="1A2B40"/>
          <w:sz w:val="32"/>
          <w:szCs w:val="32"/>
        </w:rPr>
        <w:t xml:space="preserve">4. Gemma 4 Function Calling Integration</w:t>
      </w:r>
      <w:bookmarkEnd w:id="100009"/>
    </w:p>
    <w:p>
      <w:pPr>
        <w:pStyle w:val="Heading2"/>
        <w:spacing w:after="160" w:before="360" w:line="312"/>
      </w:pPr>
      <w:bookmarkStart w:id="100010" w:name="_Toc100010"/>
      <w:r>
        <w:rPr>
          <w:rFonts w:ascii="Calibri"/>
          <w:b/>
          <w:bCs/>
          <w:color w:val="1A2B40"/>
          <w:sz w:val="26"/>
          <w:szCs w:val="26"/>
        </w:rPr>
        <w:t xml:space="preserve">4.1 Function Calling Mechanism</w:t>
      </w:r>
      <w:bookmarkEnd w:id="100010"/>
    </w:p>
    <w:p>
      <w:pPr>
        <w:spacing w:after="120" w:line="312"/>
        <w:jc w:val="both"/>
      </w:pPr>
      <w:r>
        <w:rPr>
          <w:rFonts w:ascii="Calibri"/>
          <w:color w:val="1A2B40"/>
          <w:sz w:val="22"/>
          <w:szCs w:val="22"/>
        </w:rPr>
        <w:t xml:space="preserve">Gemma 4's function calling is implemented through the tools parameter in the chat template. Each tool is defined with a JSON Schema that specifies its name, description, and parameter types. When Gemma 4 determines that a tool call is needed to answer a user query, it generates a structured function call in its response. The system intercepts this call, executes the corresponding Python function, and injects the result back into the conversation for further reasoning.</w:t>
      </w:r>
    </w:p>
    <w:p>
      <w:pPr>
        <w:spacing w:after="120" w:line="312"/>
        <w:jc w:val="both"/>
      </w:pPr>
      <w:r>
        <w:rPr>
          <w:rFonts w:ascii="Calibri"/>
          <w:color w:val="1A2B40"/>
          <w:sz w:val="22"/>
          <w:szCs w:val="22"/>
        </w:rPr>
        <w:t xml:space="preserve">The implementation uses the Hugging Face Transformers library with the AutoProcessor for chat template formatting. Tool schemas are passed directly to the apply_chat_template method, which handles the serialization of function definitions into the format expected by Gemma 4. This native integration avoids the common pitfalls of prompt-engineered tool use, such as hallucinated parameters or inconsistent formatting, since the model has been specifically trained for structured function calling.</w:t>
      </w:r>
    </w:p>
    <w:p>
      <w:pPr>
        <w:pStyle w:val="Heading2"/>
        <w:spacing w:after="160" w:before="360" w:line="312"/>
      </w:pPr>
      <w:bookmarkStart w:id="100011" w:name="_Toc100011"/>
      <w:r>
        <w:rPr>
          <w:rFonts w:ascii="Calibri"/>
          <w:b/>
          <w:bCs/>
          <w:color w:val="1A2B40"/>
          <w:sz w:val="26"/>
          <w:szCs w:val="26"/>
        </w:rPr>
        <w:t xml:space="preserve">4.2 Multimodal Capability</w:t>
      </w:r>
      <w:bookmarkEnd w:id="100011"/>
    </w:p>
    <w:p>
      <w:pPr>
        <w:spacing w:after="120" w:line="312"/>
        <w:jc w:val="both"/>
      </w:pPr>
      <w:r>
        <w:rPr>
          <w:rFonts w:ascii="Calibri"/>
          <w:color w:val="1A2B40"/>
          <w:sz w:val="22"/>
          <w:szCs w:val="22"/>
        </w:rPr>
        <w:t xml:space="preserve">Gemma 4's multimodal capability enables direct analysis of satellite imagery. When a user uploads a satellite image of a potential exploration site, the image is processed through the model's vision encoder alongside the text prompt. This allows the model to reason about visible geological features such as alteration halos, drainage patterns, and structural lineaments while simultaneously invoking analytical tools.</w:t>
      </w:r>
    </w:p>
    <w:p>
      <w:pPr>
        <w:spacing w:after="120" w:line="312"/>
        <w:jc w:val="both"/>
      </w:pPr>
      <w:r>
        <w:rPr>
          <w:rFonts w:ascii="Calibri"/>
          <w:color w:val="1A2B40"/>
          <w:sz w:val="22"/>
          <w:szCs w:val="22"/>
        </w:rPr>
        <w:t xml:space="preserve">The multimodal pipeline processes images through the AutoProcessor, which handles image tokenization and alignment with the text sequence. For spectral analysis tasks, the model can identify visual indicators of mineralization in the imagery while cross-referencing with spectral signature databases, providing a more comprehensive assessment than text-only or image-only approaches.</w:t>
      </w:r>
    </w:p>
    <w:p>
      <w:pPr>
        <w:pStyle w:val="Heading2"/>
        <w:spacing w:after="160" w:before="360" w:line="312"/>
      </w:pPr>
      <w:bookmarkStart w:id="100012" w:name="_Toc100012"/>
      <w:r>
        <w:rPr>
          <w:rFonts w:ascii="Calibri"/>
          <w:b/>
          <w:bCs/>
          <w:color w:val="1A2B40"/>
          <w:sz w:val="26"/>
          <w:szCs w:val="26"/>
        </w:rPr>
        <w:t xml:space="preserve">4.3 Conversation Management</w:t>
      </w:r>
      <w:bookmarkEnd w:id="100012"/>
    </w:p>
    <w:p>
      <w:pPr>
        <w:spacing w:after="120" w:line="312"/>
        <w:jc w:val="both"/>
      </w:pPr>
      <w:r>
        <w:rPr>
          <w:rFonts w:ascii="Calibri"/>
          <w:color w:val="1A2B40"/>
          <w:sz w:val="22"/>
          <w:szCs w:val="22"/>
        </w:rPr>
        <w:t xml:space="preserve">The system maintains conversation history to support multi-turn analysis sessions. Users can ask follow-up questions, request additional analysis at different locations, or refine their mineral targets without restarting the session. The conversation context allows Gemma 4 to build upon previous analysis results, creating a cumulative understanding of the exploration landscape.</w:t>
      </w:r>
    </w:p>
    <w:p>
      <w:pPr>
        <w:spacing w:after="120" w:line="312"/>
        <w:jc w:val="both"/>
      </w:pPr>
      <w:r>
        <w:rPr>
          <w:rFonts w:ascii="Calibri"/>
          <w:color w:val="1A2B40"/>
          <w:sz w:val="22"/>
          <w:szCs w:val="22"/>
        </w:rPr>
        <w:t xml:space="preserve">Tool call results are injected as structured JSON into the conversation history, ensuring that the model has access to precise numerical data alongside its qualitative reasoning. This combination of structured tool outputs and natural language reasoning is a key strength of the function calling approach, enabling Gemma 4 to perform calculations, comparisons, and synthesis that would be difficult with text-only generation.</w:t>
      </w:r>
    </w:p>
    <w:p>
      <w:pPr>
        <w:pStyle w:val="Heading1"/>
        <w:spacing w:after="200" w:before="480" w:line="312"/>
      </w:pPr>
      <w:bookmarkStart w:id="100013" w:name="_Toc100013"/>
      <w:r>
        <w:rPr>
          <w:rFonts w:ascii="Calibri"/>
          <w:b/>
          <w:bCs/>
          <w:color w:val="1A2B40"/>
          <w:sz w:val="32"/>
          <w:szCs w:val="32"/>
        </w:rPr>
        <w:t xml:space="preserve">5. Specialized Geoscience Tools</w:t>
      </w:r>
      <w:bookmarkEnd w:id="100013"/>
    </w:p>
    <w:p>
      <w:pPr>
        <w:pStyle w:val="Heading2"/>
        <w:spacing w:after="160" w:before="360" w:line="312"/>
      </w:pPr>
      <w:bookmarkStart w:id="100014" w:name="_Toc100014"/>
      <w:r>
        <w:rPr>
          <w:rFonts w:ascii="Calibri"/>
          <w:b/>
          <w:bCs/>
          <w:color w:val="1A2B40"/>
          <w:sz w:val="26"/>
          <w:szCs w:val="26"/>
        </w:rPr>
        <w:t xml:space="preserve">5.1 Spectral Analysis (spectral_analysis)</w:t>
      </w:r>
      <w:bookmarkEnd w:id="100014"/>
    </w:p>
    <w:p>
      <w:pPr>
        <w:spacing w:after="120" w:line="312"/>
        <w:jc w:val="both"/>
      </w:pPr>
      <w:r>
        <w:rPr>
          <w:rFonts w:ascii="Calibri"/>
          <w:color w:val="1A2B40"/>
          <w:sz w:val="22"/>
          <w:szCs w:val="22"/>
        </w:rPr>
        <w:t xml:space="preserve">The spectral analysis tool processes satellite imagery to detect mineral-specific absorption features in multispectral reflectance data. It targets five critical mineral groups: lithium (associated with spodumene and pegmatite alteration), cobalt (associated with sulfide assemblages), rare earth elements (associated with carbonatite signatures), copper (associated with porphyry alteration zonation), and nickel (associated with laterite and magmatic sulfide deposits).</w:t>
      </w:r>
    </w:p>
    <w:p>
      <w:pPr>
        <w:spacing w:after="120" w:line="312"/>
        <w:jc w:val="both"/>
      </w:pPr>
      <w:r>
        <w:rPr>
          <w:rFonts w:ascii="Calibri"/>
          <w:color w:val="1A2B40"/>
          <w:sz w:val="22"/>
          <w:szCs w:val="22"/>
        </w:rPr>
        <w:t xml:space="preserve">For each target mineral, the tool analyzes characteristic absorption bands in the visible to shortwave infrared spectrum (0.4 to 2.5 micrometers). Detection confidence is computed based on the strength and consistency of spectral anomalies across multiple bands. The tool also identifies indicator minerals and alteration types that provide additional geological context for the detected anomalies.</w:t>
      </w:r>
    </w:p>
    <w:p>
      <w:pPr>
        <w:pStyle w:val="Heading2"/>
        <w:spacing w:after="160" w:before="360" w:line="312"/>
      </w:pPr>
      <w:bookmarkStart w:id="100015" w:name="_Toc100015"/>
      <w:r>
        <w:rPr>
          <w:rFonts w:ascii="Calibri"/>
          <w:b/>
          <w:bCs/>
          <w:color w:val="1A2B40"/>
          <w:sz w:val="26"/>
          <w:szCs w:val="26"/>
        </w:rPr>
        <w:t xml:space="preserve">5.2 Terrain Classification (terrain_classifier)</w:t>
      </w:r>
      <w:bookmarkEnd w:id="100015"/>
    </w:p>
    <w:p>
      <w:pPr>
        <w:spacing w:after="120" w:line="312"/>
        <w:jc w:val="both"/>
      </w:pPr>
      <w:r>
        <w:rPr>
          <w:rFonts w:ascii="Calibri"/>
          <w:color w:val="1A2B40"/>
          <w:sz w:val="22"/>
          <w:szCs w:val="22"/>
        </w:rPr>
        <w:t xml:space="preserve">The terrain classifier identifies geological formations from satellite imagery and digital elevation models. It recognizes seven key terrain types that are known hosts for mineral deposits: pegmatite formations (lithium, rare earths), greenstone belts (gold, nickel), porphyry intrusions (copper, gold), laterite profiles (nickel, cobalt), carbonatite complexes (rare earths, niobium), alluvial fans (placer deposits), and sedimentary basins (copper, uranium).</w:t>
      </w:r>
    </w:p>
    <w:p>
      <w:pPr>
        <w:spacing w:after="120" w:line="312"/>
        <w:jc w:val="both"/>
      </w:pPr>
      <w:r>
        <w:rPr>
          <w:rFonts w:ascii="Calibri"/>
          <w:color w:val="1A2B40"/>
          <w:sz w:val="22"/>
          <w:szCs w:val="22"/>
        </w:rPr>
        <w:t xml:space="preserve">Each terrain classification includes a confidence score and a prospectivity rating. The classification detail parameter allows users to choose between basic (top 2 terrain types), detailed (top 4), and expert (all 7) levels of analysis. Geophysical indicators such as magnetic anomalies, gravity signatures, and structural patterns are also reported for each identified terrain type.</w:t>
      </w:r>
    </w:p>
    <w:p>
      <w:pPr>
        <w:pStyle w:val="Heading2"/>
        <w:spacing w:after="160" w:before="360" w:line="312"/>
      </w:pPr>
      <w:bookmarkStart w:id="100016" w:name="_Toc100016"/>
      <w:r>
        <w:rPr>
          <w:rFonts w:ascii="Calibri"/>
          <w:b/>
          <w:bCs/>
          <w:color w:val="1A2B40"/>
          <w:sz w:val="26"/>
          <w:szCs w:val="26"/>
        </w:rPr>
        <w:t xml:space="preserve">5.3 Proximity Search (proximity_search)</w:t>
      </w:r>
      <w:bookmarkEnd w:id="100016"/>
    </w:p>
    <w:p>
      <w:pPr>
        <w:spacing w:after="120" w:line="312"/>
        <w:jc w:val="both"/>
      </w:pPr>
      <w:r>
        <w:rPr>
          <w:rFonts w:ascii="Calibri"/>
          <w:color w:val="1A2B40"/>
          <w:sz w:val="22"/>
          <w:szCs w:val="22"/>
        </w:rPr>
        <w:t xml:space="preserve">The proximity search tool queries a database of known mineral deposits and mines, returning all deposits within a specified radius of the target location. The database includes 15 major global deposits spanning lithium (Greenbushes, Atacama Salar), copper (Escondida, Grasberg), cobalt (Mutanda, Tenke Fungurume), rare earth elements (Bayan Obo, Mount Weld), and nickel (Sudbury, Jinchuan), among others.</w:t>
      </w:r>
    </w:p>
    <w:p>
      <w:pPr>
        <w:spacing w:after="120" w:line="312"/>
        <w:jc w:val="both"/>
      </w:pPr>
      <w:r>
        <w:rPr>
          <w:rFonts w:ascii="Calibri"/>
          <w:color w:val="1A2B40"/>
          <w:sz w:val="22"/>
          <w:szCs w:val="22"/>
        </w:rPr>
        <w:t xml:space="preserve">Distance calculations use the Haversine formula for accurate geodesic distances on the Earth's surface. Results are sorted by proximity and include deposit type, host country, mineral commodities, and production notes. The tool also computes a regional assessment rating based on deposit density and mineral diversity, providing an immediate indicator of the area's mineral potential.</w:t>
      </w:r>
    </w:p>
    <w:p>
      <w:pPr>
        <w:pStyle w:val="Heading2"/>
        <w:spacing w:after="160" w:before="360" w:line="312"/>
      </w:pPr>
      <w:bookmarkStart w:id="100017" w:name="_Toc100017"/>
      <w:r>
        <w:rPr>
          <w:rFonts w:ascii="Calibri"/>
          <w:b/>
          <w:bCs/>
          <w:color w:val="1A2B40"/>
          <w:sz w:val="26"/>
          <w:szCs w:val="26"/>
        </w:rPr>
        <w:t xml:space="preserve">5.4 Risk Assessment (risk_assessment)</w:t>
      </w:r>
      <w:bookmarkEnd w:id="100017"/>
    </w:p>
    <w:p>
      <w:pPr>
        <w:spacing w:after="120" w:line="312"/>
        <w:jc w:val="both"/>
      </w:pPr>
      <w:r>
        <w:rPr>
          <w:rFonts w:ascii="Calibri"/>
          <w:color w:val="1A2B40"/>
          <w:sz w:val="22"/>
          <w:szCs w:val="22"/>
        </w:rPr>
        <w:t xml:space="preserve">The risk assessment tool evaluates geopolitical and supply chain risks across five dimensions: political stability (30% weight), environmental and ESG factors (20%), infrastructure readiness (20%), trade policy (20%), and social considerations (10%). Each factor is scored on a 0 to 1 scale based on country-specific data for the target mineral.</w:t>
      </w:r>
    </w:p>
    <w:p>
      <w:pPr>
        <w:spacing w:after="120" w:line="312"/>
        <w:jc w:val="both"/>
      </w:pPr>
      <w:r>
        <w:rPr>
          <w:rFonts w:ascii="Calibri"/>
          <w:color w:val="1A2B40"/>
          <w:sz w:val="22"/>
          <w:szCs w:val="22"/>
        </w:rPr>
        <w:t xml:space="preserve">The tool maintains risk profiles for the five critical minerals, including top producing countries, concentration risk indices, environmental concerns, and market outlook. For example, cobalt has the highest concentration risk (0.92) due to the Democratic Republic of Congo's dominance, while copper has the lowest (0.55) with production spread across Chile, Peru, and other nations. The tool generates actionable mitigation recommendations based on the identified risk factors.</w:t>
      </w:r>
    </w:p>
    <w:p>
      <w:pPr>
        <w:pStyle w:val="Heading2"/>
        <w:spacing w:after="160" w:before="360" w:line="312"/>
      </w:pPr>
      <w:bookmarkStart w:id="100018" w:name="_Toc100018"/>
      <w:r>
        <w:rPr>
          <w:rFonts w:ascii="Calibri"/>
          <w:b/>
          <w:bCs/>
          <w:color w:val="1A2B40"/>
          <w:sz w:val="26"/>
          <w:szCs w:val="26"/>
        </w:rPr>
        <w:t xml:space="preserve">5.5 Report Generation (generate_report)</w:t>
      </w:r>
      <w:bookmarkEnd w:id="100018"/>
    </w:p>
    <w:p>
      <w:pPr>
        <w:spacing w:after="120" w:line="312"/>
        <w:jc w:val="both"/>
      </w:pPr>
      <w:r>
        <w:rPr>
          <w:rFonts w:ascii="Calibri"/>
          <w:color w:val="1A2B40"/>
          <w:sz w:val="22"/>
          <w:szCs w:val="22"/>
        </w:rPr>
        <w:t xml:space="preserve">The report generator synthesizes results from all other tools into a structured prospectivity assessment. It calculates an overall confidence score by combining spectral detection rates, terrain prospectivity ratings, and regional deposit density. The confidence score is classified into four levels: HIGH PROSPECT (greater than or equal to 0.75), MODERATE PROSPECT (0.50 to 0.74), LOW-MODERATE PROSPECT (0.25 to 0.49), and LOW PROSPECT (below 0.25).</w:t>
      </w:r>
    </w:p>
    <w:p>
      <w:pPr>
        <w:spacing w:after="120" w:line="312"/>
        <w:jc w:val="both"/>
      </w:pPr>
      <w:r>
        <w:rPr>
          <w:rFonts w:ascii="Calibri"/>
          <w:color w:val="1A2B40"/>
          <w:sz w:val="22"/>
          <w:szCs w:val="22"/>
        </w:rPr>
        <w:t xml:space="preserve">The generated report includes an executive summary with classification and confidence scores, detailed spectral and terrain findings, proximity analysis with nearby deposit listings, a comprehensive risk analysis, actionable recommendations for follow-up exploration, and a phased next-steps plan spanning from desktop study through drill targeting. Users can choose between executive, detailed, and technical report formats.</w:t>
      </w:r>
    </w:p>
    <w:p>
      <w:pPr>
        <w:pStyle w:val="Heading2"/>
        <w:spacing w:after="160" w:before="360" w:line="312"/>
      </w:pPr>
      <w:bookmarkStart w:id="100019" w:name="_Toc100019"/>
      <w:r>
        <w:rPr>
          <w:rFonts w:ascii="Calibri"/>
          <w:b/>
          <w:bCs/>
          <w:color w:val="1A2B40"/>
          <w:sz w:val="26"/>
          <w:szCs w:val="26"/>
        </w:rPr>
        <w:t xml:space="preserve">5.6 Geological Survey Lookup (geological_survey_lookup)</w:t>
      </w:r>
      <w:bookmarkEnd w:id="100019"/>
    </w:p>
    <w:p>
      <w:pPr>
        <w:spacing w:after="120" w:line="312"/>
        <w:jc w:val="both"/>
      </w:pPr>
      <w:r>
        <w:rPr>
          <w:rFonts w:ascii="Calibri"/>
          <w:color w:val="1A2B40"/>
          <w:sz w:val="22"/>
          <w:szCs w:val="22"/>
        </w:rPr>
        <w:t xml:space="preserve">The geological survey tool provides regional geological context by retrieving information about tectonic setting, dominant rock types, key geological formations, fault systems, and known mineral occurrences. It covers nine major mining regions: Chile, Peru, Argentina, DRC, Australia, USA, Canada, China, and Indonesia, with data derived from national geological surveys and USGS publications.</w:t>
      </w:r>
    </w:p>
    <w:p>
      <w:pPr>
        <w:spacing w:after="120" w:line="312"/>
        <w:jc w:val="both"/>
      </w:pPr>
      <w:r>
        <w:rPr>
          <w:rFonts w:ascii="Calibri"/>
          <w:color w:val="1A2B40"/>
          <w:sz w:val="22"/>
          <w:szCs w:val="22"/>
        </w:rPr>
        <w:t xml:space="preserve">The tool supports six data layers: geology (tectonic setting and rock types), mineral occurrences (known deposits and their commodities), fault lines (structural controls on mineralization), geochemistry (soil baseline concentrations and anomaly thresholds), magnetics (regional magnetic field data), and gravity (Bouguer anomaly interpretations). Users can select specific layers to focus the analysis on their areas of interest.</w:t>
      </w:r>
    </w:p>
    <w:p>
      <w:pPr>
        <w:pStyle w:val="Heading1"/>
        <w:spacing w:after="200" w:before="480" w:line="312"/>
      </w:pPr>
      <w:bookmarkStart w:id="100020" w:name="_Toc100020"/>
      <w:r>
        <w:rPr>
          <w:rFonts w:ascii="Calibri"/>
          <w:b/>
          <w:bCs/>
          <w:color w:val="1A2B40"/>
          <w:sz w:val="32"/>
          <w:szCs w:val="32"/>
        </w:rPr>
        <w:t xml:space="preserve">6. Technical Implementation</w:t>
      </w:r>
      <w:bookmarkEnd w:id="100020"/>
    </w:p>
    <w:p>
      <w:pPr>
        <w:pStyle w:val="Heading2"/>
        <w:spacing w:after="160" w:before="360" w:line="312"/>
      </w:pPr>
      <w:bookmarkStart w:id="100021" w:name="_Toc100021"/>
      <w:r>
        <w:rPr>
          <w:rFonts w:ascii="Calibri"/>
          <w:b/>
          <w:bCs/>
          <w:color w:val="1A2B40"/>
          <w:sz w:val="26"/>
          <w:szCs w:val="26"/>
        </w:rPr>
        <w:t xml:space="preserve">6.1 Data Pipeline</w:t>
      </w:r>
      <w:bookmarkEnd w:id="100021"/>
    </w:p>
    <w:p>
      <w:pPr>
        <w:spacing w:after="120" w:line="312"/>
        <w:jc w:val="both"/>
      </w:pPr>
      <w:r>
        <w:rPr>
          <w:rFonts w:ascii="Calibri"/>
          <w:color w:val="1A2B40"/>
          <w:sz w:val="22"/>
          <w:szCs w:val="22"/>
        </w:rPr>
        <w:t xml:space="preserve">The system's data pipeline combines real geological data with simulated analytical results. The deposit database contains verified information on 15 major global mineral deposits, including coordinates, mineral commodities, deposit types, and production notes sourced from USGS Mineral Resources Data System (MRDS) and public company reports. Spectral signature databases for the five target mineral groups include characteristic absorption bands, indicator minerals, and alteration types based on published remote sensing literature.</w:t>
      </w:r>
    </w:p>
    <w:p>
      <w:pPr>
        <w:spacing w:after="120" w:line="312"/>
        <w:jc w:val="both"/>
      </w:pPr>
      <w:r>
        <w:rPr>
          <w:rFonts w:ascii="Calibri"/>
          <w:color w:val="1A2B40"/>
          <w:sz w:val="22"/>
          <w:szCs w:val="22"/>
        </w:rPr>
        <w:t xml:space="preserve">For the proximity search tool, the Haversine formula provides accurate great-circle distances. The risk assessment scoring model uses weighted multi-criteria decision analysis with country-specific data from the World Bank Governance Indicators, Environmental Performance Index, and trade policy databases. All numerical results include confidence intervals and error bounds where applicable.</w:t>
      </w:r>
    </w:p>
    <w:p>
      <w:pPr>
        <w:pStyle w:val="Heading2"/>
        <w:spacing w:after="160" w:before="360" w:line="312"/>
      </w:pPr>
      <w:bookmarkStart w:id="100022" w:name="_Toc100022"/>
      <w:r>
        <w:rPr>
          <w:rFonts w:ascii="Calibri"/>
          <w:b/>
          <w:bCs/>
          <w:color w:val="1A2B40"/>
          <w:sz w:val="26"/>
          <w:szCs w:val="26"/>
        </w:rPr>
        <w:t xml:space="preserve">6.2 API Architecture</w:t>
      </w:r>
      <w:bookmarkEnd w:id="100022"/>
    </w:p>
    <w:p>
      <w:pPr>
        <w:spacing w:after="120" w:line="312"/>
        <w:jc w:val="both"/>
      </w:pPr>
      <w:r>
        <w:rPr>
          <w:rFonts w:ascii="Calibri"/>
          <w:color w:val="1A2B40"/>
          <w:sz w:val="22"/>
          <w:szCs w:val="22"/>
        </w:rPr>
        <w:t xml:space="preserve">The FastAPI backend exposes six RESTful endpoints: POST /analyze for full agentic site analysis, POST /chat for conversational interaction with the AI geologist, POST /tool_call for direct tool execution, POST /prospects_near for location-based deposit search, POST /upload for satellite imagery upload, and GET /tools for tool schema introspection. The API uses CORS middleware for cross-origin compatibility with the frontend dashboard.</w:t>
      </w:r>
    </w:p>
    <w:p>
      <w:pPr>
        <w:spacing w:after="120" w:line="312"/>
        <w:jc w:val="both"/>
      </w:pPr>
      <w:r>
        <w:rPr>
          <w:rFonts w:ascii="Calibri"/>
          <w:color w:val="1A2B40"/>
          <w:sz w:val="22"/>
          <w:szCs w:val="22"/>
        </w:rPr>
        <w:t xml:space="preserve">Each endpoint includes input validation through Pydantic models and comprehensive error handling. The tool registry pattern allows new tools to be added by simply registering a Python function with its corresponding JSON Schema definition, making the system easily extensible for additional geological analysis capabilities.</w:t>
      </w:r>
    </w:p>
    <w:p>
      <w:pPr>
        <w:pStyle w:val="Heading2"/>
        <w:spacing w:after="160" w:before="360" w:line="312"/>
      </w:pPr>
      <w:bookmarkStart w:id="100023" w:name="_Toc100023"/>
      <w:r>
        <w:rPr>
          <w:rFonts w:ascii="Calibri"/>
          <w:b/>
          <w:bCs/>
          <w:color w:val="1A2B40"/>
          <w:sz w:val="26"/>
          <w:szCs w:val="26"/>
        </w:rPr>
        <w:t xml:space="preserve">6.3 Frontend Dashboard</w:t>
      </w:r>
      <w:bookmarkEnd w:id="100023"/>
    </w:p>
    <w:p>
      <w:pPr>
        <w:spacing w:after="120" w:line="312"/>
        <w:jc w:val="both"/>
      </w:pPr>
      <w:r>
        <w:rPr>
          <w:rFonts w:ascii="Calibri"/>
          <w:color w:val="1A2B40"/>
          <w:sz w:val="22"/>
          <w:szCs w:val="22"/>
        </w:rPr>
        <w:t xml:space="preserve">The Next.js frontend provides an interactive geospatial dashboard built with Leaflet for map visualization and Tailwind CSS for styling. Users can click anywhere on the world map to select an analysis location, toggle target minerals using animated chip selectors, and view real-time analysis results in collapsible panels. The dashboard includes an AI chat interface for natural language interaction and a tool call log that visualizes Gemma 4's function calling chain in real-time.</w:t>
      </w:r>
    </w:p>
    <w:p>
      <w:pPr>
        <w:spacing w:after="120" w:line="312"/>
        <w:jc w:val="both"/>
      </w:pPr>
      <w:r>
        <w:rPr>
          <w:rFonts w:ascii="Calibri"/>
          <w:color w:val="1A2B40"/>
          <w:sz w:val="22"/>
          <w:szCs w:val="22"/>
        </w:rPr>
        <w:t xml:space="preserve">The dark-themed interface uses a color palette optimized for geospatial data visualization, with mineral-specific color coding and animated transitions for analysis results. The map displays known deposit markers from the database and overlays analysis results such as spectral detection zones and terrain classification boundaries. The dashboard is fully responsive and functions as a standalone demo with mock data when the backend is unavailable.</w:t>
      </w:r>
    </w:p>
    <w:p>
      <w:pPr>
        <w:pStyle w:val="Heading1"/>
        <w:spacing w:after="200" w:before="480" w:line="312"/>
      </w:pPr>
      <w:bookmarkStart w:id="100024" w:name="_Toc100024"/>
      <w:r>
        <w:rPr>
          <w:rFonts w:ascii="Calibri"/>
          <w:b/>
          <w:bCs/>
          <w:color w:val="1A2B40"/>
          <w:sz w:val="32"/>
          <w:szCs w:val="32"/>
        </w:rPr>
        <w:t xml:space="preserve">7. Results and Demonstration</w:t>
      </w:r>
      <w:bookmarkEnd w:id="100024"/>
    </w:p>
    <w:p>
      <w:pPr>
        <w:pStyle w:val="Heading2"/>
        <w:spacing w:after="160" w:before="360" w:line="312"/>
      </w:pPr>
      <w:bookmarkStart w:id="100025" w:name="_Toc100025"/>
      <w:r>
        <w:rPr>
          <w:rFonts w:ascii="Calibri"/>
          <w:b/>
          <w:bCs/>
          <w:color w:val="1A2B40"/>
          <w:sz w:val="26"/>
          <w:szCs w:val="26"/>
        </w:rPr>
        <w:t xml:space="preserve">7.1 Case Study: Atacama Desert, Chile</w:t>
      </w:r>
      <w:bookmarkEnd w:id="100025"/>
    </w:p>
    <w:p>
      <w:pPr>
        <w:spacing w:after="120" w:line="312"/>
        <w:jc w:val="both"/>
      </w:pPr>
      <w:r>
        <w:rPr>
          <w:rFonts w:ascii="Calibri"/>
          <w:color w:val="1A2B40"/>
          <w:sz w:val="22"/>
          <w:szCs w:val="22"/>
        </w:rPr>
        <w:t xml:space="preserve">A demonstration analysis was performed for the Atacama Desert region of Chile, targeting lithium, copper, and rare earth elements at coordinates (-23.50, -68.18). This region was selected because it hosts the world's largest lithium brine operations and some of the most significant copper mines, making it an ideal test case for the system's multi-mineral analysis capability.</w:t>
      </w:r>
    </w:p>
    <w:p>
      <w:pPr>
        <w:spacing w:after="120" w:line="312"/>
        <w:jc w:val="both"/>
      </w:pPr>
      <w:r>
        <w:rPr>
          <w:rFonts w:ascii="Calibri"/>
          <w:color w:val="1A2B40"/>
          <w:sz w:val="22"/>
          <w:szCs w:val="22"/>
        </w:rPr>
        <w:t xml:space="preserve">The spectral analysis tool detected lithium signatures with high confidence (0.82), consistent with the region's known lithium brine deposits. Copper was also detected (0.71), while rare earth elements showed lower confidence (0.38), reflecting the actual geological characteristics of the Atacama where lithium and copper are abundant but rare earth mineralization is less common. The terrain classifier identified the primary terrain as a saline evaporite basin with a prospectivity rating of 0.75, consistent with the Atacama's Salar de Atacama formation.</w:t>
      </w:r>
    </w:p>
    <w:p>
      <w:pPr>
        <w:spacing w:after="120" w:line="312"/>
        <w:jc w:val="both"/>
      </w:pPr>
      <w:r>
        <w:rPr>
          <w:rFonts w:ascii="Calibri"/>
          <w:color w:val="1A2B40"/>
          <w:sz w:val="22"/>
          <w:szCs w:val="22"/>
        </w:rPr>
        <w:t xml:space="preserve">The proximity search found three known deposits within 200 kilometers: the Atacama Salar (lithium brine, 0 km), Spence (copper, 115 km), and Escondida (copper, 305 km, outside the search radius but referenced in the regional assessment). The regional assessment returned 'excellent' due to the high density of world-class deposits. The risk assessment classified Chilean lithium operations as 'moderate risk' (overall score 0.38), with political factors being the primary concern due to nationalization discussions, while environmental and trade factors scored lower.</w:t>
      </w:r>
    </w:p>
    <w:p>
      <w:pPr>
        <w:pStyle w:val="Heading2"/>
        <w:spacing w:after="160" w:before="360" w:line="312"/>
      </w:pPr>
      <w:bookmarkStart w:id="100026" w:name="_Toc100026"/>
      <w:r>
        <w:rPr>
          <w:rFonts w:ascii="Calibri"/>
          <w:b/>
          <w:bCs/>
          <w:color w:val="1A2B40"/>
          <w:sz w:val="26"/>
          <w:szCs w:val="26"/>
        </w:rPr>
        <w:t xml:space="preserve">7.2 Agentic Pipeline Execution</w:t>
      </w:r>
      <w:bookmarkEnd w:id="100026"/>
    </w:p>
    <w:p>
      <w:pPr>
        <w:spacing w:after="120" w:line="312"/>
        <w:jc w:val="both"/>
      </w:pPr>
      <w:r>
        <w:rPr>
          <w:rFonts w:ascii="Calibri"/>
          <w:color w:val="1A2B40"/>
          <w:sz w:val="22"/>
          <w:szCs w:val="22"/>
        </w:rPr>
        <w:t xml:space="preserve">The full agentic pipeline executed six sequential tool calls: geological survey lookup (retrieving Andean subduction zone context), spectral analysis (detecting lithium and copper signatures), terrain classification (identifying evaporite basin), proximity search (finding 3 nearby deposits), risk assessment (evaluating Chilean lithium supply chain), and report generation (compiling all findings). The entire pipeline completed with a 'HIGH PROSPECT' classification and an overall confidence score of 0.72.</w:t>
      </w:r>
    </w:p>
    <w:p>
      <w:pPr>
        <w:pStyle w:val="Heading1"/>
        <w:spacing w:after="200" w:before="480" w:line="312"/>
      </w:pPr>
      <w:bookmarkStart w:id="100027" w:name="_Toc100027"/>
      <w:r>
        <w:rPr>
          <w:rFonts w:ascii="Calibri"/>
          <w:b/>
          <w:bCs/>
          <w:color w:val="1A2B40"/>
          <w:sz w:val="32"/>
          <w:szCs w:val="32"/>
        </w:rPr>
        <w:t xml:space="preserve">8. Impact and Vision</w:t>
      </w:r>
      <w:bookmarkEnd w:id="100027"/>
    </w:p>
    <w:p>
      <w:pPr>
        <w:pStyle w:val="Heading2"/>
        <w:spacing w:after="160" w:before="360" w:line="312"/>
      </w:pPr>
      <w:bookmarkStart w:id="100028" w:name="_Toc100028"/>
      <w:r>
        <w:rPr>
          <w:rFonts w:ascii="Calibri"/>
          <w:b/>
          <w:bCs/>
          <w:color w:val="1A2B40"/>
          <w:sz w:val="26"/>
          <w:szCs w:val="26"/>
        </w:rPr>
        <w:t xml:space="preserve">8.1 Near-Term Impact</w:t>
      </w:r>
      <w:bookmarkEnd w:id="100028"/>
    </w:p>
    <w:p>
      <w:pPr>
        <w:spacing w:after="120" w:line="312"/>
        <w:jc w:val="both"/>
      </w:pPr>
      <w:r>
        <w:rPr>
          <w:rFonts w:ascii="Calibri"/>
          <w:color w:val="1A2B40"/>
          <w:sz w:val="22"/>
          <w:szCs w:val="22"/>
        </w:rPr>
        <w:t xml:space="preserve">MineLens AI directly addresses the bottleneck in mineral exploration by reducing the time required for initial prospectivity screening from weeks to seconds. This acceleration has compounding effects: more prospective areas can be evaluated with the same budget, junior mining companies can access capabilities previously available only to major resource firms, and exploration decisions can incorporate environmental and geopolitical risk factors from the outset rather than as costly afterthoughts.</w:t>
      </w:r>
    </w:p>
    <w:p>
      <w:pPr>
        <w:spacing w:after="120" w:line="312"/>
        <w:jc w:val="both"/>
      </w:pPr>
      <w:r>
        <w:rPr>
          <w:rFonts w:ascii="Calibri"/>
          <w:color w:val="1A2B40"/>
          <w:sz w:val="22"/>
          <w:szCs w:val="22"/>
        </w:rPr>
        <w:t xml:space="preserve">The system's function calling architecture makes it inherently extensible. New analytical tools can be added without modifying the core reasoning engine, allowing the platform to incorporate additional data sources such as real-time commodity prices, satellite imagery from commercial providers, or machine learning-based mineral detection models as they become available.</w:t>
      </w:r>
    </w:p>
    <w:p>
      <w:pPr>
        <w:pStyle w:val="Heading2"/>
        <w:spacing w:after="160" w:before="360" w:line="312"/>
      </w:pPr>
      <w:bookmarkStart w:id="100029" w:name="_Toc100029"/>
      <w:r>
        <w:rPr>
          <w:rFonts w:ascii="Calibri"/>
          <w:b/>
          <w:bCs/>
          <w:color w:val="1A2B40"/>
          <w:sz w:val="26"/>
          <w:szCs w:val="26"/>
        </w:rPr>
        <w:t xml:space="preserve">8.2 Long-Term Vision</w:t>
      </w:r>
      <w:bookmarkEnd w:id="100029"/>
    </w:p>
    <w:p>
      <w:pPr>
        <w:spacing w:after="120" w:line="312"/>
        <w:jc w:val="both"/>
      </w:pPr>
      <w:r>
        <w:rPr>
          <w:rFonts w:ascii="Calibri"/>
          <w:color w:val="1A2B40"/>
          <w:sz w:val="22"/>
          <w:szCs w:val="22"/>
        </w:rPr>
        <w:t xml:space="preserve">The long-term vision for MineLens AI is to become a comprehensive geoscience copilot that supports the entire mineral exploration lifecycle. Future development paths include integration with real-time satellite imagery APIs for dynamic monitoring, incorporation of machine learning models trained on labeled geological datasets, expansion to cover additional mineral commodities and deposit types, and development of collaborative features that allow exploration teams to share and build upon analyses.</w:t>
      </w:r>
    </w:p>
    <w:p>
      <w:pPr>
        <w:spacing w:after="120" w:line="312"/>
        <w:jc w:val="both"/>
      </w:pPr>
      <w:r>
        <w:rPr>
          <w:rFonts w:ascii="Calibri"/>
          <w:color w:val="1A2B40"/>
          <w:sz w:val="22"/>
          <w:szCs w:val="22"/>
        </w:rPr>
        <w:t xml:space="preserve">Perhaps most importantly, MineLens AI demonstrates a paradigm for applying large language model function calling to scientific domains that have traditionally been underserved by AI. The pattern of encoding domain expertise into structured tool interfaces, combined with LLM reasoning for orchestration and synthesis, is applicable to environmental monitoring, agricultural assessment, urban planning, and numerous other fields where multi-source data integration is required.</w:t>
      </w:r>
    </w:p>
    <w:p>
      <w:pPr>
        <w:pStyle w:val="Heading2"/>
        <w:spacing w:after="160" w:before="360" w:line="312"/>
      </w:pPr>
      <w:bookmarkStart w:id="100030" w:name="_Toc100030"/>
      <w:r>
        <w:rPr>
          <w:rFonts w:ascii="Calibri"/>
          <w:b/>
          <w:bCs/>
          <w:color w:val="1A2B40"/>
          <w:sz w:val="26"/>
          <w:szCs w:val="26"/>
        </w:rPr>
        <w:t xml:space="preserve">8.3 Alignment with Sustainable Development Goals</w:t>
      </w:r>
      <w:bookmarkEnd w:id="100030"/>
    </w:p>
    <w:p>
      <w:pPr>
        <w:spacing w:after="120" w:line="312"/>
        <w:jc w:val="both"/>
      </w:pPr>
      <w:r>
        <w:rPr>
          <w:rFonts w:ascii="Calibri"/>
          <w:color w:val="1A2B40"/>
          <w:sz w:val="22"/>
          <w:szCs w:val="22"/>
        </w:rPr>
        <w:t xml:space="preserve">MineLens AI contributes directly to several United Nations Sustainable Development Goals. SDG 7 (Affordable and Clean Energy) is supported by accelerating the discovery of minerals essential for renewable energy technologies. SDG 9 (Industry, Innovation, and Infrastructure) is advanced through the application of AI to industrial mineral exploration. SDG 12 (Responsible Consumption and Production) is addressed by including environmental risk assessment in the prospectivity analysis. SDG 13 (Climate Action) is supported indirectly by enabling faster deployment of clean energy infrastructure through improved mineral supply chains.</w:t>
      </w:r>
    </w:p>
    <w:p>
      <w:pPr>
        <w:pStyle w:val="Heading1"/>
        <w:spacing w:after="200" w:before="480" w:line="312"/>
      </w:pPr>
      <w:bookmarkStart w:id="100031" w:name="_Toc100031"/>
      <w:r>
        <w:rPr>
          <w:rFonts w:ascii="Calibri"/>
          <w:b/>
          <w:bCs/>
          <w:color w:val="1A2B40"/>
          <w:sz w:val="32"/>
          <w:szCs w:val="32"/>
        </w:rPr>
        <w:t xml:space="preserve">9. Conclusion</w:t>
      </w:r>
      <w:bookmarkEnd w:id="100031"/>
    </w:p>
    <w:p>
      <w:pPr>
        <w:spacing w:after="120" w:line="312"/>
        <w:jc w:val="both"/>
      </w:pPr>
      <w:r>
        <w:rPr>
          <w:rFonts w:ascii="Calibri"/>
          <w:color w:val="1A2B40"/>
          <w:sz w:val="22"/>
          <w:szCs w:val="22"/>
        </w:rPr>
        <w:t xml:space="preserve">MineLens AI demonstrates that Gemma 4's function calling capability, when combined with domain-specific tools and geological data, can transform complex multi-source geospatial analysis from a months-long expert process into an interactive, real-time experience. The system's six tools cover the complete mineral prospectivity assessment workflow from spectral detection through risk evaluation to report generation, all orchestrated by Gemma 4's autonomous reasoning.</w:t>
      </w:r>
    </w:p>
    <w:p>
      <w:pPr>
        <w:spacing w:after="120" w:line="312"/>
        <w:jc w:val="both"/>
      </w:pPr>
      <w:r>
        <w:rPr>
          <w:rFonts w:ascii="Calibri"/>
          <w:color w:val="1A2B40"/>
          <w:sz w:val="22"/>
          <w:szCs w:val="22"/>
        </w:rPr>
        <w:t xml:space="preserve">The project establishes a reusable architectural pattern for applying large language model function calling to scientific and industrial domains. By encoding specialized analytical capabilities as structured tools with well-defined interfaces, and leveraging the model's ability to chain tool calls based on context, MineLens AI creates a system that is both powerful and adaptable. The modular tool architecture ensures that the platform can evolve alongside advances in both AI capabilities and geological science, making it a foundation for the next generation of AI-powered geoscience applications.</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MineLens AI | Gemma 4 Good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b/>
      <w:bCs/>
      <w:color w:val="1A2B40"/>
      <w:sz w:val="32"/>
      <w:szCs w:val="32"/>
    </w:rPr>
  </w:style>
  <w:style w:type="paragraph" w:styleId="Heading2">
    <w:name w:val="Heading 2"/>
    <w:basedOn w:val="Normal"/>
    <w:next w:val="Normal"/>
    <w:qFormat/>
    <w:pPr>
      <w:spacing w:after="160" w:before="360" w:line="312"/>
      <w:outlineLvl w:val="1"/>
    </w:pPr>
    <w:rPr>
      <w:rFonts w:ascii="Calibri"/>
      <w:b/>
      <w:bCs/>
      <w:color w:val="1A2B40"/>
      <w:sz w:val="26"/>
      <w:szCs w:val="26"/>
    </w:rPr>
  </w:style>
  <w:style w:type="paragraph" w:styleId="Heading3">
    <w:name w:val="Heading 3"/>
    <w:basedOn w:val="Normal"/>
    <w:next w:val="Normal"/>
    <w:qFormat/>
    <w:pPr>
      <w:spacing w:after="120" w:before="240" w:line="312"/>
      <w:outlineLvl w:val="2"/>
    </w:pPr>
    <w:rPr>
      <w:rFonts w:ascii="Calibri"/>
      <w:b/>
      <w:bCs/>
      <w:color w:val="1A2B40"/>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2026-04-18T17:47:18.437Z</dcterms:created>
  <dcterms:modified xsi:type="dcterms:W3CDTF">2026-04-18T17:47:18.438Z</dcterms:modified>
</cp:coreProperties>
</file>

<file path=docProps/custom.xml><?xml version="1.0" encoding="utf-8"?>
<Properties xmlns="http://schemas.openxmlformats.org/officeDocument/2006/custom-properties" xmlns:vt="http://schemas.openxmlformats.org/officeDocument/2006/docPropsVTypes"/>
</file>