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7EA3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Robot Figma 天使轮融资计划书</w:t>
      </w:r>
    </w:p>
    <w:p w14:paraId="1837283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执行摘要 (Executive Summary)</w:t>
      </w:r>
      <w:bookmarkEnd w:id="0"/>
    </w:p>
    <w:p w14:paraId="573407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项目定位</w:t>
      </w:r>
      <w:bookmarkEnd w:id="1"/>
    </w:p>
    <w:p w14:paraId="7095A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Robot Figma 是具身智能时代的</w:t>
      </w:r>
      <w:r>
        <w:rPr>
          <w:rFonts w:ascii="Arial" w:hAnsi="Arial" w:eastAsia="等线" w:cs="Arial"/>
          <w:b/>
          <w:sz w:val="22"/>
        </w:rPr>
        <w:t>"Android 系统”</w:t>
      </w:r>
      <w:r>
        <w:rPr>
          <w:rFonts w:ascii="Arial" w:hAnsi="Arial" w:eastAsia="等线" w:cs="Arial"/>
          <w:sz w:val="22"/>
        </w:rPr>
        <w:t>。我们致力于打造多模态行为操作系统，通过自研 VLA-Compiler（视觉-语言-动作编译器），实现自然语言到机器人物理动作的毫秒级编译，高效解决机器人“硬件爆发、智能赤字”的行业核心痛点，成为具身智能领域的基础设施提供商。</w:t>
      </w:r>
    </w:p>
    <w:p w14:paraId="57B0991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核心亮点</w:t>
      </w:r>
      <w:bookmarkEnd w:id="2"/>
    </w:p>
    <w:p w14:paraId="134A78E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团队背景：核心成员均来自 Figure AI、DeepMind、Figma、ROS 核心团队，具备顶尖 AI 研究、机器人底层架构与产品化落地的全链路能力，行业经验深厚。</w:t>
      </w:r>
    </w:p>
    <w:p w14:paraId="415CEC5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技术壁垒：自研 VLA-Compiler 引擎，端到端延迟低于 800ms，已积累 1500 万条独家物理交互数据，形成难以复制的技术优势。</w:t>
      </w:r>
    </w:p>
    <w:p w14:paraId="421659C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商业验证：种子期已顺利完成 5 家客户 POC 验证，达成 600 万 ARR 付费意向，开发者注册量突破 3000+，初步实现产品市场匹配（PMF）。</w:t>
      </w:r>
    </w:p>
    <w:p w14:paraId="6F7D0A6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融资计划：本次天使轮拟融资 3000 万人民币，出让 20% 股权，资金将全部用于未来 18 个月的产品迭代、商业化落地与生态扩张。</w:t>
      </w:r>
    </w:p>
    <w:p w14:paraId="2B2ED44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投资逻辑</w:t>
      </w:r>
      <w:bookmarkEnd w:id="3"/>
    </w:p>
    <w:p w14:paraId="22A35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2026 年是具身智能硬件爆发元年，预计人形机器人出货量将达 10 万台，但行业软件开发仍停留在“手工作坊”阶段，效率低下、成本高企。Robot Figma 已完成技术验证和种子期 PMF 验证，当前正处于抢占市场的关键节点，亟需资本助力，抢占多模态行为标准制定权，成为机器人行业不可或缺的基础设施，把握具身智能爆发的时代红利。</w:t>
      </w:r>
    </w:p>
    <w:p w14:paraId="2C947E0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市场痛点与机会 (Problem &amp; Opportunity)</w:t>
      </w:r>
      <w:bookmarkEnd w:id="4"/>
    </w:p>
    <w:p w14:paraId="0C410A5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行业痛点：硬件已就绪，软件在裸奔</w:t>
      </w:r>
      <w:bookmarkEnd w:id="5"/>
    </w:p>
    <w:p w14:paraId="5620521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开发效率极低：传统机器人开发一个简单抓取动作需耗时 2 周，场景切换时需完全重写代码，严重制约落地速度。</w:t>
      </w:r>
    </w:p>
    <w:p w14:paraId="411EC07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智能程度不足：基于规则脚本开发，无法理解视觉、语音、手势等多模态指令，难以适配复杂真实场景。</w:t>
      </w:r>
    </w:p>
    <w:p w14:paraId="7FC0A55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综合成本高企：随着技术迭代，机器人硬件成本已下降 90%，但软件适配成本仍占整体成本的 70%，成为行业规模化发展的核心瓶颈。</w:t>
      </w:r>
    </w:p>
    <w:p w14:paraId="0CB0D8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客户原话：“我们需要的不只是让机器人动起来，而是让机器人看懂场景、理解意图、自主决策。”——某头部服务机器人厂商 CTO</w:t>
      </w:r>
    </w:p>
    <w:p w14:paraId="68681DE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市场机会：具身智能的"Android 时刻”</w:t>
      </w:r>
      <w:bookmarkEnd w:id="6"/>
    </w:p>
    <w:p w14:paraId="35692D9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市场规模庞大：预计 2030 年全球具身智能软件与服务市场规模将达 1500 亿美元（CAGR 62%），增长潜力巨大。</w:t>
      </w:r>
    </w:p>
    <w:p w14:paraId="56ABEFF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时间窗口稀缺：2024-2026 年是具身智能软件标准制定的关键窗口期，2027 年后行业将逐步形成垄断格局，先发优势至关重要。</w:t>
      </w:r>
    </w:p>
    <w:p w14:paraId="25BDB4B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多重因素驱动：硬件端（特斯拉 Optimus、Figure AI 等人形机器人量产）、技术端（GPT-4V 等多模态大模型成熟）、政策端（中国“机器人+”行动）三方共振，推动行业加速爆发。</w:t>
      </w:r>
    </w:p>
    <w:p w14:paraId="111F4A4C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3. 解决方案与产品 (Solution &amp; Product)</w:t>
      </w:r>
      <w:bookmarkEnd w:id="7"/>
    </w:p>
    <w:p w14:paraId="6F746A9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3.1 核心产品：VLA-Compiler 引擎</w:t>
      </w:r>
      <w:bookmarkEnd w:id="8"/>
    </w:p>
    <w:p w14:paraId="34B79A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作为项目核心技术载体，VLA-Compiler 引擎实现了多模态指令到机器人物理动作的高效转化，核心优势突出：</w:t>
      </w:r>
    </w:p>
    <w:p w14:paraId="78078C4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核心功能：将自然语言、视觉指令实时编译为机器人可直接执行的行为树或端到端策略，无需人工编写复杂代码。</w:t>
      </w:r>
    </w:p>
    <w:p w14:paraId="1D4DFB2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性能表现：多模态指令理解准确率达 89%，端到端任务成功率 84%，执行延迟低于 800ms，满足实时交互需求。</w:t>
      </w:r>
    </w:p>
    <w:p w14:paraId="1A024E4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安全保障：内置置信度引擎，当指令可执行置信度低于 85% 时，自动暂停机器人动作并发出求助信号，杜绝物理世界安全事故。</w:t>
      </w:r>
    </w:p>
    <w:p w14:paraId="6345F8B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3.2 产品矩阵</w:t>
      </w:r>
      <w:bookmarkEnd w:id="9"/>
    </w:p>
    <w:p w14:paraId="0C3CABC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Robot Figma Core：核心编译引擎，支持多模态融合与物理约束检查，是整个产品体系的技术基石。</w:t>
      </w:r>
    </w:p>
    <w:p w14:paraId="3296BAA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Figma Studio：协作开发 IDE，内置多模态场景编辑器与数字孪生调试功能，大幅提升机器人开发效率。</w:t>
      </w:r>
    </w:p>
    <w:p w14:paraId="31EA617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Figma Edge：边缘智能节点，搭载端侧轻量化模型，功耗低于 15W，支持云边协同，适配各类终端硬件。</w:t>
      </w:r>
    </w:p>
    <w:p w14:paraId="1BF1FF3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Figma Protocol：跨硬件、跨场景的通用行为标准协议，打破硬件厂商壁垒，实现多平台兼容。</w:t>
      </w:r>
    </w:p>
    <w:p w14:paraId="59804D6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3.3 技术演示</w:t>
      </w:r>
      <w:bookmarkEnd w:id="10"/>
    </w:p>
    <w:p w14:paraId="54C5C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应用场景：展厅机器人接待访客</w:t>
      </w:r>
    </w:p>
    <w:p w14:paraId="5A3E1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执行流程：语音指令“带客人参观新品区”+ 视觉手势指向 → 系统快速识别用户意图 → 自动生成导航+讲解行为树 → 遇到障碍时动态重规划路径 → 高效完成接待任务。</w:t>
      </w:r>
    </w:p>
    <w:p w14:paraId="64F8D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核心效果：机器人部署时间从传统的 2 周缩短至 2 小时，实现零代码快速部署，大幅降低开发门槛。</w:t>
      </w:r>
    </w:p>
    <w:p w14:paraId="56F759B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4. 技术壁垒 (Technology &amp; Moat)</w:t>
      </w:r>
      <w:bookmarkEnd w:id="11"/>
    </w:p>
    <w:p w14:paraId="27C3AF2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4.1 核心壁垒：物理世界数据独占权</w:t>
      </w:r>
      <w:bookmarkEnd w:id="12"/>
    </w:p>
    <w:p w14:paraId="67BA4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通用大模型的核心局限的是：训练数据以互联网文本、图片为主，仅能理解语言和视觉信息，无法掌握物理重力、物体交互等真实世界规律。</w:t>
      </w:r>
    </w:p>
    <w:p w14:paraId="6D860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Robot Figma 的核心优势：训练数据全部为真实物理交互日志（视觉-语言-动作三者对齐），是通用大模型无法获取的独家资源。</w:t>
      </w:r>
    </w:p>
    <w:p w14:paraId="00DEEFD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数据规模：种子期已积累 1500 万条对齐数据，目标未来 18 个月内突破 1 亿条，形成数据飞轮效应。</w:t>
      </w:r>
    </w:p>
    <w:p w14:paraId="73F4B90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防御逻辑：大厂难以获取真实机器人交互数据，数据壁垒如同“水面之下的冰山”，难以被复制和超越。</w:t>
      </w:r>
    </w:p>
    <w:p w14:paraId="1CD01CB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4.2 技术架构</w:t>
      </w:r>
      <w:bookmarkEnd w:id="13"/>
    </w:p>
    <w:p w14:paraId="4A80901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神经符号混合架构：融合 LLM 规划（保障智能决策）、行为树执行（保障可靠运行）、物理约束检查（保障安全落地），兼顾智能与稳定。</w:t>
      </w:r>
    </w:p>
    <w:p w14:paraId="2487552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边缘计算优化：端侧搭载 7B 参数 VLA 模型，功耗低于 15W，无需依赖云端高延迟推理，适配各类场景部署。</w:t>
      </w:r>
    </w:p>
    <w:p w14:paraId="3E6EBCB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硬件抽象兼容：通过统一 API，已适配 ROS2、宇树、智元、越疆等 20+ 主流机器人硬件平台，兼容性极强。</w:t>
      </w:r>
    </w:p>
    <w:p w14:paraId="2FB47BD4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5. 商业模式与验证 (Business Model &amp; Traction)</w:t>
      </w:r>
      <w:bookmarkEnd w:id="14"/>
    </w:p>
    <w:p w14:paraId="5BBAB3B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5.1 收入模式</w:t>
      </w:r>
      <w:bookmarkEnd w:id="15"/>
    </w:p>
    <w:p w14:paraId="41A42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构建多元化收入结构，兼顾短期现金流与长期增长，预计 3 年内毛利率维持在 80% 左右：</w:t>
      </w:r>
    </w:p>
    <w:p w14:paraId="64C8FD8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SaaS 订阅（占比 55%）：分为专业版（¥3,600/月）与企业版（¥18,000/月），适配不同规模客户需求。</w:t>
      </w:r>
    </w:p>
    <w:p w14:paraId="53E1D4A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Edge 授权（占比 28%）：按节点收费，¥150/月/机器人，依托硬件终端实现规模化变现。</w:t>
      </w:r>
    </w:p>
    <w:p w14:paraId="79AFA88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技能市场抽佣（占比 17%）：搭建开发者技能交易市场，开发者售卖 VLA 技能包，平台抽取 30% 佣金，打造生态变现闭环。</w:t>
      </w:r>
    </w:p>
    <w:p w14:paraId="7BC0221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5.2 单位经济模型</w:t>
      </w:r>
      <w:bookmarkEnd w:id="16"/>
    </w:p>
    <w:p w14:paraId="194607A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ACV（年均合同价值）：¥12 万/客户</w:t>
      </w:r>
    </w:p>
    <w:p w14:paraId="5E647A5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LTV/CAC（生命周期价值/获客成本）：10:1，达到顶级 SaaS 行业标准</w:t>
      </w:r>
    </w:p>
    <w:p w14:paraId="4FA93CC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回本周期：3.6 个月，现金流健康，盈利潜力清晰</w:t>
      </w:r>
    </w:p>
    <w:p w14:paraId="0C7A95B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5.3 种子期验证</w:t>
      </w:r>
      <w:bookmarkEnd w:id="17"/>
    </w:p>
    <w:p w14:paraId="1A3D4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种子期已完成初步商业验证，为天使轮融资后规模化扩张奠定坚实基础：</w:t>
      </w:r>
    </w:p>
    <w:p w14:paraId="65B2447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客户验证：5 家 POC 客户（覆盖物流、服务、工业三大核心场景），其中 2 家客户付费意向明确。</w:t>
      </w:r>
    </w:p>
    <w:p w14:paraId="02755C1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开发者生态：3000+ 开发者注册，社区活跃度高，已形成初步的开发者生态雏形。</w:t>
      </w:r>
    </w:p>
    <w:p w14:paraId="51B0D49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意向收入：达成 600 万 ARR 付费意向，产品商业价值得到市场认可。</w:t>
      </w:r>
    </w:p>
    <w:p w14:paraId="58DA21BB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6. 竞争格局 (Competition)</w:t>
      </w:r>
      <w:bookmarkEnd w:id="18"/>
    </w:p>
    <w:p w14:paraId="05BAAB7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6.1 生态位定位</w:t>
      </w:r>
      <w:bookmarkEnd w:id="19"/>
    </w:p>
    <w:p w14:paraId="6B6D2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Robot Figma 精准切入具身智能协议层，与行业玩家形成互补而非竞争，生态位独特：</w:t>
      </w:r>
    </w:p>
    <w:p w14:paraId="57FE593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硬件厂商（Tesla/Figure）：专注硬件研发与闭环，Robot Figma 作为其软件供应商/合作伙伴，为其提供智能行为解决方案。</w:t>
      </w:r>
    </w:p>
    <w:p w14:paraId="1AC601D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大模型厂商（OpenAI/Google）：专注通用大模型研发，Robot Figma 作为其垂直落地层，实现大模型在物理世界的机器人场景落地。</w:t>
      </w:r>
    </w:p>
    <w:p w14:paraId="346540C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Robot Figma：行业内唯一中立协议层玩家，不做硬件、不训练基础大模型，专注打造多模态行为标准，成为连接硬件与大模型的核心枢纽。</w:t>
      </w:r>
    </w:p>
    <w:p w14:paraId="16C82308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6.2 竞争优势</w:t>
      </w:r>
      <w:bookmarkEnd w:id="20"/>
    </w:p>
    <w:p w14:paraId="0F40D50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大厂：以速度为核心优势，依托垂直物理交互数据壁垒，通过开源协议绑定开发者生态，快速抢占市场。</w:t>
      </w:r>
    </w:p>
    <w:p w14:paraId="3AACCF3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硬件厂自研：采用开放协议，吸引全球开发者参与，避免行业重复造轮子，提升行业整体效率，形成生态优势。</w:t>
      </w:r>
    </w:p>
    <w:p w14:paraId="23BF57A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同类初创：具备先发优势与数据飞轮效应，预计保持 6 个月的行业领先窗口，巩固市场地位。</w:t>
      </w:r>
    </w:p>
    <w:p w14:paraId="76598F6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7. 核心团队 (The Team)</w:t>
      </w:r>
      <w:bookmarkEnd w:id="21"/>
    </w:p>
    <w:p w14:paraId="2AD6B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团队兼具顶尖技术、产品落地与行业资源，核心成员曾共同创造过 $10B+ 退出价值，能力互补、经验丰富：</w:t>
      </w:r>
    </w:p>
    <w:p w14:paraId="79342A4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CEO：前 Figure AI 高级研究科学家，斯坦福 CS 博士，主导 Helix VLA 模型研发，发表 CoRL/ICRA 顶级论文 8 篇，深耕具身智能领域多年。</w:t>
      </w:r>
    </w:p>
    <w:p w14:paraId="293D2F5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CTO：前 Open Robotics 核心维护者，ROS 2 Navigation2 架构师，设计并开源 ROS 2 行为树标准，GitHub 星标达 12k+，精通机器人底层架构。</w:t>
      </w:r>
    </w:p>
    <w:p w14:paraId="467EBE5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CPO：前 Figma 产品总监，主导 FigJam 实时协作功能，实现 DAU 从 0 增长至 300 万，深谙 PLG 模式与开发者体验优化。</w:t>
      </w:r>
    </w:p>
    <w:p w14:paraId="274A58A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VP：前 Google DeepMind 研究科学家，Gemini Robotics 项目核心成员，主导多模态 grounding 研究，具备顶尖 AI 技术研发能力。</w:t>
      </w:r>
    </w:p>
    <w:p w14:paraId="487B9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顾问委员会：汇聚 MIT/斯坦福机器人学教授、前 Figma CTO、前 NVIDIA 机器人生态负责人，为项目提供技术、产品与生态资源支持。</w:t>
      </w:r>
    </w:p>
    <w:p w14:paraId="2424C8C6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8. 财务规划与里程碑 (Financials &amp; Roadmap)</w:t>
      </w:r>
      <w:bookmarkEnd w:id="22"/>
    </w:p>
    <w:p w14:paraId="2EC2FDAA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8.1 资金使用计划（3000 万人民币，周期 18 个月）</w:t>
      </w:r>
      <w:bookmarkEnd w:id="23"/>
    </w:p>
    <w:p w14:paraId="31715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资金分配聚焦核心目标，确保高效利用，推动产品商业化与生态扩张：</w:t>
      </w:r>
    </w:p>
    <w:p w14:paraId="72F6132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团队薪资（50%）：维持 8 人核心团队稳定，新招聘 10 名核心人才（技术、销售、运营），强化团队能力。</w:t>
      </w:r>
    </w:p>
    <w:p w14:paraId="061E2DD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算力与训练（20%）：搭建 GPU 集群，用于多模态模型迭代训练与数据扩充，巩固技术壁垒。</w:t>
      </w:r>
    </w:p>
    <w:p w14:paraId="0E235EF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市场与生态（20%）：开展开发者运营、行业推广，推进标杆客户 POC 落地，扩大品牌影响力与生态规模。</w:t>
      </w:r>
    </w:p>
    <w:p w14:paraId="5143DC3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硬件与运营（10%）：研发 Edge 样机，覆盖办公、法务、行政等日常运营成本。</w:t>
      </w:r>
    </w:p>
    <w:p w14:paraId="04DB8C9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8.2 关键里程碑</w:t>
      </w:r>
      <w:bookmarkEnd w:id="24"/>
    </w:p>
    <w:p w14:paraId="051DB19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Month 6：推出 VLA-Compiler v2.0 版本，将执行延迟降至 600ms 以内，支持 10 家主流硬件平台适配。</w:t>
      </w:r>
    </w:p>
    <w:p w14:paraId="6E359CB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Month 9：Figma Studio 正式上线，开发者注册量突破 5000 人，完善开发者协作生态。</w:t>
      </w:r>
    </w:p>
    <w:p w14:paraId="151779F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Month 12：实现单月现金流打平，累计签约 20 家付费客户，达成 600 万 ARR 目标。</w:t>
      </w:r>
    </w:p>
    <w:p w14:paraId="34D98C6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Month 15：与 2 家头部机器人厂商签署预装协议，实现规模化落地突破。</w:t>
      </w:r>
    </w:p>
    <w:p w14:paraId="1903EA0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Month 18：完成 A 轮融资准备，累计签约 50 家客户，ARR 突破 1500 万，开发者注册量达 2 万人。</w:t>
      </w:r>
    </w:p>
    <w:p w14:paraId="3B4C311A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8.3 财务预测</w:t>
      </w:r>
      <w:bookmarkEnd w:id="25"/>
    </w:p>
    <w:p w14:paraId="1A3C7DD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Year 1 (2026)：营业收入 200 万人民币（核心为种子期客户转化与初期付费客户）。</w:t>
      </w:r>
    </w:p>
    <w:p w14:paraId="6E96C4F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Year 2 (2027)：营业收入 1900 万人民币（规模化扩张，付费客户大幅增加）。</w:t>
      </w:r>
    </w:p>
    <w:p w14:paraId="78D4A2F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Year 3 (2028)：营业收入 8100 万人民币（生态成熟，实现爆发式增长）。</w:t>
      </w:r>
    </w:p>
    <w:p w14:paraId="128CDFB0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9. 融资条款 (The Deal)</w:t>
      </w:r>
      <w:bookmarkEnd w:id="26"/>
    </w:p>
    <w:p w14:paraId="1CA8DA2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轮次：天使轮</w:t>
      </w:r>
    </w:p>
    <w:p w14:paraId="01050B4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融资金额：3000 万人民币（可接受 2500-3500 万人民币区间调整）</w:t>
      </w:r>
    </w:p>
    <w:p w14:paraId="1064AA6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投前估值：1.2 亿人民币</w:t>
      </w:r>
    </w:p>
    <w:p w14:paraId="6EDA5F9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出让股份：20%</w:t>
      </w:r>
    </w:p>
    <w:p w14:paraId="71AAB1C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资金用途：全部用于未来 18 个月的产品商业化落地与开发者生态扩张</w:t>
      </w:r>
    </w:p>
    <w:p w14:paraId="31EE135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投资人权益：享有董事会席位 1 席、A 轮优先跟投权、项目核心数据共享权</w:t>
      </w:r>
    </w:p>
    <w:p w14:paraId="46DB2C9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退出路径：优先考虑战略收购（占比 55%，对标 Figma、UiPath 等行业标杆），其次为 IPO（占比 30%，预计 5-7 年实现）</w:t>
      </w:r>
    </w:p>
    <w:p w14:paraId="792962A5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10. 风险分析与缓解 (Risk Mitigation)</w:t>
      </w:r>
      <w:bookmarkEnd w:id="27"/>
    </w:p>
    <w:p w14:paraId="0A3FE06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技术风险：VLA 模型泛化能力不足，无法适配更多复杂场景。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缓解措施：与高校深度合作，获取更多真实场景交互数据；预留 200 万应急研发资金，专项用于模型泛化优化。</w:t>
      </w:r>
    </w:p>
    <w:p w14:paraId="15099AE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市场风险：具身智能硬件爆发时间延迟，影响产品商业化进度。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缓解措施：拓宽产品应用场景，兼容现有工业臂等成熟硬件，不依赖人形机器人单一场景，保障短期现金流稳定。</w:t>
      </w:r>
    </w:p>
    <w:p w14:paraId="65B8BCE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竞争风险：大厂入局，凭借资金、资源优势挤压市场空间。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缓解措施：以速度为核心，6 个月内完成数据临界规模积累；通过开源协议建立行业标准，绑定开发者与客户生态，构建竞争壁垒。</w:t>
      </w:r>
    </w:p>
    <w:p w14:paraId="029332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安全风险：机器人执行动作时发生物理世界安全事故，影响品牌声誉。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缓解措施：强化置信度引擎功能，不确定指令即暂停；为产品购买相关保险，覆盖潜在安全风险。</w:t>
      </w:r>
    </w:p>
    <w:p w14:paraId="1D8A2FA3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11. 联系我们 (Contact)</w:t>
      </w:r>
      <w:bookmarkEnd w:id="28"/>
    </w:p>
    <w:p w14:paraId="0EF17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我们相信：2026 年，具身智能硬件迎来爆发，但“大脑”严重滞后。Robot Figma 已完成技术验证和种子期 PMF，构建了多模态行为编译器、边缘智能节点、开发者协作平台三层产品矩阵。这不是一个“未来愿景”，而是一个“现在就需要”的行业基础设施。</w:t>
      </w:r>
    </w:p>
    <w:p w14:paraId="7C32E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投资 Robot Figma 天使轮 = 以</w:t>
      </w:r>
      <w:bookmarkStart w:id="29" w:name="_GoBack"/>
      <w:bookmarkEnd w:id="29"/>
      <w:r>
        <w:rPr>
          <w:rFonts w:ascii="Arial" w:hAnsi="Arial" w:eastAsia="等线" w:cs="Arial"/>
          <w:b/>
          <w:sz w:val="22"/>
        </w:rPr>
        <w:t xml:space="preserve"> 1.2 亿估值，抢占多模态具身智能的“协议层”标准制定权</w:t>
      </w:r>
    </w:p>
    <w:p w14:paraId="631EA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项目负责人：[CEO 姓名]</w:t>
      </w:r>
    </w:p>
    <w:p w14:paraId="2602E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邮箱：[email]</w:t>
      </w:r>
    </w:p>
    <w:p w14:paraId="4646B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电话/微信：[phone]</w:t>
      </w:r>
    </w:p>
    <w:p w14:paraId="77BCB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公司地址：北京中关村/深圳南山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1D6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CF3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F99A1"/>
    <w:multiLevelType w:val="singleLevel"/>
    <w:tmpl w:val="8E3F99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F5A3004"/>
    <w:multiLevelType w:val="singleLevel"/>
    <w:tmpl w:val="8F5A30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FCA6CC"/>
    <w:multiLevelType w:val="singleLevel"/>
    <w:tmpl w:val="8FFCA6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D460515"/>
    <w:multiLevelType w:val="singleLevel"/>
    <w:tmpl w:val="9D4605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E4596A"/>
    <w:multiLevelType w:val="singleLevel"/>
    <w:tmpl w:val="A7E459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FF49F1"/>
    <w:multiLevelType w:val="singleLevel"/>
    <w:tmpl w:val="B5FF49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BD7F0B"/>
    <w:multiLevelType w:val="singleLevel"/>
    <w:tmpl w:val="B7BD7F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9FFBFCA"/>
    <w:multiLevelType w:val="singleLevel"/>
    <w:tmpl w:val="B9FFBF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7F971F"/>
    <w:multiLevelType w:val="singleLevel"/>
    <w:tmpl w:val="BF7F97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EE567F"/>
    <w:multiLevelType w:val="singleLevel"/>
    <w:tmpl w:val="BFEE56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FE372E"/>
    <w:multiLevelType w:val="singleLevel"/>
    <w:tmpl w:val="BFFE3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BFA0A52"/>
    <w:multiLevelType w:val="singleLevel"/>
    <w:tmpl w:val="CBFA0A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EEAB525"/>
    <w:multiLevelType w:val="singleLevel"/>
    <w:tmpl w:val="DEEAB5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7A6A72E"/>
    <w:multiLevelType w:val="singleLevel"/>
    <w:tmpl w:val="E7A6A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7BFA4EA"/>
    <w:multiLevelType w:val="singleLevel"/>
    <w:tmpl w:val="E7BFA4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7FF8D98"/>
    <w:multiLevelType w:val="singleLevel"/>
    <w:tmpl w:val="E7FF8D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8AE0C18"/>
    <w:multiLevelType w:val="singleLevel"/>
    <w:tmpl w:val="E8AE0C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B7B090A"/>
    <w:multiLevelType w:val="singleLevel"/>
    <w:tmpl w:val="EB7B09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E36A792"/>
    <w:multiLevelType w:val="singleLevel"/>
    <w:tmpl w:val="EE36A7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E7F6E7A"/>
    <w:multiLevelType w:val="singleLevel"/>
    <w:tmpl w:val="EE7F6E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E9C5B69"/>
    <w:multiLevelType w:val="singleLevel"/>
    <w:tmpl w:val="EE9C5B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F279D9E"/>
    <w:multiLevelType w:val="singleLevel"/>
    <w:tmpl w:val="EF279D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FBFE5DC"/>
    <w:multiLevelType w:val="singleLevel"/>
    <w:tmpl w:val="EFBFE5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FCE769"/>
    <w:multiLevelType w:val="singleLevel"/>
    <w:tmpl w:val="EFFCE7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FFF7FAE"/>
    <w:multiLevelType w:val="singleLevel"/>
    <w:tmpl w:val="EFFF7F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7EE3F91"/>
    <w:multiLevelType w:val="singleLevel"/>
    <w:tmpl w:val="F7EE3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F10E04"/>
    <w:multiLevelType w:val="singleLevel"/>
    <w:tmpl w:val="F7F10E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FE3DBE"/>
    <w:multiLevelType w:val="singleLevel"/>
    <w:tmpl w:val="F7FE3D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B1EC2AB"/>
    <w:multiLevelType w:val="singleLevel"/>
    <w:tmpl w:val="FB1EC2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B4EECA3"/>
    <w:multiLevelType w:val="singleLevel"/>
    <w:tmpl w:val="FB4EEC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B6EBAC8"/>
    <w:multiLevelType w:val="singleLevel"/>
    <w:tmpl w:val="FB6EBA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B9EF4CB"/>
    <w:multiLevelType w:val="singleLevel"/>
    <w:tmpl w:val="FB9EF4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BCFEABF"/>
    <w:multiLevelType w:val="singleLevel"/>
    <w:tmpl w:val="FBCFEA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BFC1255"/>
    <w:multiLevelType w:val="singleLevel"/>
    <w:tmpl w:val="FBFC12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BFE84F6"/>
    <w:multiLevelType w:val="singleLevel"/>
    <w:tmpl w:val="FBFE84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D347020"/>
    <w:multiLevelType w:val="singleLevel"/>
    <w:tmpl w:val="FD3470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D7BF3BB"/>
    <w:multiLevelType w:val="singleLevel"/>
    <w:tmpl w:val="FD7BF3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DFC29B1"/>
    <w:multiLevelType w:val="singleLevel"/>
    <w:tmpl w:val="FDFC29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EF49B6F"/>
    <w:multiLevelType w:val="singleLevel"/>
    <w:tmpl w:val="FEF49B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A66BC3"/>
    <w:multiLevelType w:val="singleLevel"/>
    <w:tmpl w:val="FFA66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AE7ED7"/>
    <w:multiLevelType w:val="singleLevel"/>
    <w:tmpl w:val="FFAE7E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C6CC0F"/>
    <w:multiLevelType w:val="singleLevel"/>
    <w:tmpl w:val="FFC6CC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DEDE42"/>
    <w:multiLevelType w:val="singleLevel"/>
    <w:tmpl w:val="FFDEDE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FDFB728"/>
    <w:multiLevelType w:val="singleLevel"/>
    <w:tmpl w:val="FFDFB7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FE67E1F"/>
    <w:multiLevelType w:val="singleLevel"/>
    <w:tmpl w:val="FFE67E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EFC52F"/>
    <w:multiLevelType w:val="singleLevel"/>
    <w:tmpl w:val="FFEFC5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FF61E67"/>
    <w:multiLevelType w:val="singleLevel"/>
    <w:tmpl w:val="FFF61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FF695B8"/>
    <w:multiLevelType w:val="singleLevel"/>
    <w:tmpl w:val="FFF695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65ECE25"/>
    <w:multiLevelType w:val="singleLevel"/>
    <w:tmpl w:val="165ECE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17BD3BB1"/>
    <w:multiLevelType w:val="singleLevel"/>
    <w:tmpl w:val="17BD3B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BEA378A"/>
    <w:multiLevelType w:val="singleLevel"/>
    <w:tmpl w:val="2BEA37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DFF8397"/>
    <w:multiLevelType w:val="singleLevel"/>
    <w:tmpl w:val="4DFF83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5FD98E6"/>
    <w:multiLevelType w:val="singleLevel"/>
    <w:tmpl w:val="55FD9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DBF620D"/>
    <w:multiLevelType w:val="singleLevel"/>
    <w:tmpl w:val="5DBF62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FB7E46B"/>
    <w:multiLevelType w:val="singleLevel"/>
    <w:tmpl w:val="6FB7E4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6FEE23CC"/>
    <w:multiLevelType w:val="singleLevel"/>
    <w:tmpl w:val="6FEE23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6FFE7266"/>
    <w:multiLevelType w:val="singleLevel"/>
    <w:tmpl w:val="6FFE72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7C2BCBF"/>
    <w:multiLevelType w:val="singleLevel"/>
    <w:tmpl w:val="77C2BC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BBDF7A8"/>
    <w:multiLevelType w:val="singleLevel"/>
    <w:tmpl w:val="7BBDF7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DBC8659"/>
    <w:multiLevelType w:val="singleLevel"/>
    <w:tmpl w:val="7DBC86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ECFFB1C"/>
    <w:multiLevelType w:val="singleLevel"/>
    <w:tmpl w:val="7ECFFB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F65F7CB"/>
    <w:multiLevelType w:val="singleLevel"/>
    <w:tmpl w:val="7F65F7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F6E6404"/>
    <w:multiLevelType w:val="singleLevel"/>
    <w:tmpl w:val="7F6E64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FF64C19"/>
    <w:multiLevelType w:val="singleLevel"/>
    <w:tmpl w:val="7FF64C1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1"/>
  </w:num>
  <w:num w:numId="2">
    <w:abstractNumId w:val="31"/>
  </w:num>
  <w:num w:numId="3">
    <w:abstractNumId w:val="48"/>
  </w:num>
  <w:num w:numId="4">
    <w:abstractNumId w:val="34"/>
  </w:num>
  <w:num w:numId="5">
    <w:abstractNumId w:val="44"/>
  </w:num>
  <w:num w:numId="6">
    <w:abstractNumId w:val="30"/>
  </w:num>
  <w:num w:numId="7">
    <w:abstractNumId w:val="39"/>
  </w:num>
  <w:num w:numId="8">
    <w:abstractNumId w:val="41"/>
  </w:num>
  <w:num w:numId="9">
    <w:abstractNumId w:val="54"/>
  </w:num>
  <w:num w:numId="10">
    <w:abstractNumId w:val="51"/>
  </w:num>
  <w:num w:numId="11">
    <w:abstractNumId w:val="3"/>
  </w:num>
  <w:num w:numId="12">
    <w:abstractNumId w:val="5"/>
  </w:num>
  <w:num w:numId="13">
    <w:abstractNumId w:val="56"/>
  </w:num>
  <w:num w:numId="14">
    <w:abstractNumId w:val="10"/>
  </w:num>
  <w:num w:numId="15">
    <w:abstractNumId w:val="52"/>
  </w:num>
  <w:num w:numId="16">
    <w:abstractNumId w:val="25"/>
  </w:num>
  <w:num w:numId="17">
    <w:abstractNumId w:val="42"/>
  </w:num>
  <w:num w:numId="18">
    <w:abstractNumId w:val="43"/>
  </w:num>
  <w:num w:numId="19">
    <w:abstractNumId w:val="63"/>
  </w:num>
  <w:num w:numId="20">
    <w:abstractNumId w:val="23"/>
  </w:num>
  <w:num w:numId="21">
    <w:abstractNumId w:val="60"/>
  </w:num>
  <w:num w:numId="22">
    <w:abstractNumId w:val="38"/>
  </w:num>
  <w:num w:numId="23">
    <w:abstractNumId w:val="53"/>
  </w:num>
  <w:num w:numId="24">
    <w:abstractNumId w:val="57"/>
  </w:num>
  <w:num w:numId="25">
    <w:abstractNumId w:val="58"/>
  </w:num>
  <w:num w:numId="26">
    <w:abstractNumId w:val="50"/>
  </w:num>
  <w:num w:numId="27">
    <w:abstractNumId w:val="62"/>
  </w:num>
  <w:num w:numId="28">
    <w:abstractNumId w:val="28"/>
  </w:num>
  <w:num w:numId="29">
    <w:abstractNumId w:val="55"/>
  </w:num>
  <w:num w:numId="30">
    <w:abstractNumId w:val="18"/>
  </w:num>
  <w:num w:numId="31">
    <w:abstractNumId w:val="17"/>
  </w:num>
  <w:num w:numId="32">
    <w:abstractNumId w:val="27"/>
  </w:num>
  <w:num w:numId="33">
    <w:abstractNumId w:val="37"/>
  </w:num>
  <w:num w:numId="34">
    <w:abstractNumId w:val="1"/>
  </w:num>
  <w:num w:numId="35">
    <w:abstractNumId w:val="4"/>
  </w:num>
  <w:num w:numId="36">
    <w:abstractNumId w:val="8"/>
  </w:num>
  <w:num w:numId="37">
    <w:abstractNumId w:val="20"/>
  </w:num>
  <w:num w:numId="38">
    <w:abstractNumId w:val="22"/>
  </w:num>
  <w:num w:numId="39">
    <w:abstractNumId w:val="6"/>
  </w:num>
  <w:num w:numId="40">
    <w:abstractNumId w:val="19"/>
  </w:num>
  <w:num w:numId="41">
    <w:abstractNumId w:val="7"/>
  </w:num>
  <w:num w:numId="42">
    <w:abstractNumId w:val="13"/>
  </w:num>
  <w:num w:numId="43">
    <w:abstractNumId w:val="16"/>
  </w:num>
  <w:num w:numId="44">
    <w:abstractNumId w:val="46"/>
  </w:num>
  <w:num w:numId="45">
    <w:abstractNumId w:val="36"/>
  </w:num>
  <w:num w:numId="46">
    <w:abstractNumId w:val="9"/>
  </w:num>
  <w:num w:numId="47">
    <w:abstractNumId w:val="33"/>
  </w:num>
  <w:num w:numId="48">
    <w:abstractNumId w:val="26"/>
  </w:num>
  <w:num w:numId="49">
    <w:abstractNumId w:val="45"/>
  </w:num>
  <w:num w:numId="50">
    <w:abstractNumId w:val="32"/>
  </w:num>
  <w:num w:numId="51">
    <w:abstractNumId w:val="21"/>
  </w:num>
  <w:num w:numId="52">
    <w:abstractNumId w:val="15"/>
  </w:num>
  <w:num w:numId="53">
    <w:abstractNumId w:val="35"/>
  </w:num>
  <w:num w:numId="54">
    <w:abstractNumId w:val="12"/>
  </w:num>
  <w:num w:numId="55">
    <w:abstractNumId w:val="49"/>
  </w:num>
  <w:num w:numId="56">
    <w:abstractNumId w:val="24"/>
  </w:num>
  <w:num w:numId="57">
    <w:abstractNumId w:val="47"/>
  </w:num>
  <w:num w:numId="58">
    <w:abstractNumId w:val="29"/>
  </w:num>
  <w:num w:numId="59">
    <w:abstractNumId w:val="14"/>
  </w:num>
  <w:num w:numId="60">
    <w:abstractNumId w:val="0"/>
  </w:num>
  <w:num w:numId="61">
    <w:abstractNumId w:val="11"/>
  </w:num>
  <w:num w:numId="62">
    <w:abstractNumId w:val="40"/>
  </w:num>
  <w:num w:numId="63">
    <w:abstractNumId w:val="2"/>
  </w:num>
  <w:num w:numId="6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7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68B7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2026-03-17T22:59:00Z</dcterms:created>
  <dc:creator>Apache POI</dc:creator>
  <cp:lastModifiedBy>小占</cp:lastModifiedBy>
  <dcterms:modified xsi:type="dcterms:W3CDTF">2026-03-17T22:59:43Z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BD4BFC5C4C779BB35F6CB9691C5C3660_42</vt:lpwstr>
  </property>
</Properties>
</file>