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Chatbot Session Transcript</w:t>
      </w:r>
    </w:p>
    <w:p>
      <w:r>
        <w:t>Date: 2025-06-28 10:22:32</w:t>
      </w:r>
    </w:p>
    <w:p>
      <w:r>
        <w:t>Context PDF(s) Loaded: amazon_2024.pdf</w:t>
      </w:r>
    </w:p>
    <w:p>
      <w:r>
        <w:t>------------------------------</w:t>
      </w:r>
    </w:p>
    <w:p>
      <w:r>
        <w:rPr>
          <w:b/>
        </w:rPr>
        <w:t xml:space="preserve">User: </w:t>
      </w:r>
      <w:r>
        <w:rPr>
          <w:color w:val="C00000"/>
        </w:rPr>
        <w:t>You: How are the company's debt instruments (short-term and long-term) structured, and what is their exposure to floating rates?</w:t>
      </w:r>
    </w:p>
    <w:p>
      <w:r>
        <w:rPr>
          <w:b/>
        </w:rPr>
        <w:t>Chatbot:</w:t>
      </w:r>
    </w:p>
    <w:p>
      <w:r>
        <w:t>Chatbot: Based on a comprehensive review of the provided annual report, here is a summary of the company's debt structure and exposure to floating rates.</w:t>
      </w:r>
    </w:p>
    <w:p>
      <w:r/>
    </w:p>
    <w:p>
      <w:r/>
      <w:r>
        <w:rPr>
          <w:b/>
        </w:rPr>
        <w:t>Key Findings:</w:t>
      </w:r>
      <w:r/>
    </w:p>
    <w:p>
      <w:r/>
    </w:p>
    <w:p>
      <w:r>
        <w:t>The company's debt is structured primarily around long-term, fixed-rate unsecured senior notes. As of December 31, 2024, the total face value of this long-term debt was $58.0 billion. The company's exposure to floating interest rates is minimal, as its major floating-rate credit facilities were undrawn at year-end. The primary outstanding debt consists of fixed-rate instruments.</w:t>
      </w:r>
    </w:p>
    <w:p>
      <w:r/>
    </w:p>
    <w:p>
      <w:r/>
      <w:r>
        <w:rPr>
          <w:b/>
        </w:rPr>
        <w:t>Details:</w:t>
      </w:r>
      <w:r/>
    </w:p>
    <w:p>
      <w:r/>
    </w:p>
    <w:p>
      <w:r/>
      <w:r>
        <w:rPr>
          <w:b/>
        </w:rPr>
        <w:t>*Long-Term Debt Structure</w:t>
      </w:r>
      <w:r>
        <w:rPr>
          <w:i/>
        </w:rPr>
      </w:r>
    </w:p>
    <w:p>
      <w:r>
        <w:t>As of December 31, 2024, the company had $58.0 billion in unsecured senior notes outstanding. These notes are the primary component of the company's long-term debt. They are primarily fixed-rate, and interest is payable semi-annually. The company may redeem the notes at any time at specified prices and is not subject to any financial covenants under these notes.</w:t>
      </w:r>
    </w:p>
    <w:p>
      <w:r/>
    </w:p>
    <w:p>
      <w:r>
        <w:t>The long-term debt is composed of several issuances with varying maturities and interest rates, as detailed below:</w:t>
      </w:r>
    </w:p>
    <w:p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Issuance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Face Value (in millions)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Maturities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Stated Interest Rates</w:t>
            </w:r>
          </w:p>
        </w:tc>
      </w:tr>
      <w:tr>
        <w:tc>
          <w:tcPr>
            <w:tcW w:type="dxa" w:w="2160"/>
          </w:tcPr>
          <w:p>
            <w:r>
              <w:t>2014 Notes</w:t>
            </w:r>
          </w:p>
        </w:tc>
        <w:tc>
          <w:tcPr>
            <w:tcW w:type="dxa" w:w="2160"/>
          </w:tcPr>
          <w:p>
            <w:r>
              <w:t>$2,750</w:t>
            </w:r>
          </w:p>
        </w:tc>
        <w:tc>
          <w:tcPr>
            <w:tcW w:type="dxa" w:w="2160"/>
          </w:tcPr>
          <w:p>
            <w:r>
              <w:t>2034 - 2044</w:t>
            </w:r>
          </w:p>
        </w:tc>
        <w:tc>
          <w:tcPr>
            <w:tcW w:type="dxa" w:w="2160"/>
          </w:tcPr>
          <w:p>
            <w:r>
              <w:t>4.80% - 4.95%</w:t>
            </w:r>
          </w:p>
        </w:tc>
      </w:tr>
      <w:tr>
        <w:tc>
          <w:tcPr>
            <w:tcW w:type="dxa" w:w="2160"/>
          </w:tcPr>
          <w:p>
            <w:r>
              <w:t>2017 Notes</w:t>
            </w:r>
          </w:p>
        </w:tc>
        <w:tc>
          <w:tcPr>
            <w:tcW w:type="dxa" w:w="2160"/>
          </w:tcPr>
          <w:p>
            <w:r>
              <w:t>$13,000</w:t>
            </w:r>
          </w:p>
        </w:tc>
        <w:tc>
          <w:tcPr>
            <w:tcW w:type="dxa" w:w="2160"/>
          </w:tcPr>
          <w:p>
            <w:r>
              <w:t>2025 - 2057</w:t>
            </w:r>
          </w:p>
        </w:tc>
        <w:tc>
          <w:tcPr>
            <w:tcW w:type="dxa" w:w="2160"/>
          </w:tcPr>
          <w:p>
            <w:r>
              <w:t>3.15% - 5.20%</w:t>
            </w:r>
          </w:p>
        </w:tc>
      </w:tr>
      <w:tr>
        <w:tc>
          <w:tcPr>
            <w:tcW w:type="dxa" w:w="2160"/>
          </w:tcPr>
          <w:p>
            <w:r>
              <w:t>2020 Notes</w:t>
            </w:r>
          </w:p>
        </w:tc>
        <w:tc>
          <w:tcPr>
            <w:tcW w:type="dxa" w:w="2160"/>
          </w:tcPr>
          <w:p>
            <w:r>
              <w:t>$9,000</w:t>
            </w:r>
          </w:p>
        </w:tc>
        <w:tc>
          <w:tcPr>
            <w:tcW w:type="dxa" w:w="2160"/>
          </w:tcPr>
          <w:p>
            <w:r>
              <w:t>2025 - 2060</w:t>
            </w:r>
          </w:p>
        </w:tc>
        <w:tc>
          <w:tcPr>
            <w:tcW w:type="dxa" w:w="2160"/>
          </w:tcPr>
          <w:p>
            <w:r>
              <w:t>0.80% - 2.70%</w:t>
            </w:r>
          </w:p>
        </w:tc>
      </w:tr>
      <w:tr>
        <w:tc>
          <w:tcPr>
            <w:tcW w:type="dxa" w:w="2160"/>
          </w:tcPr>
          <w:p>
            <w:r>
              <w:t>2021 Notes</w:t>
            </w:r>
          </w:p>
        </w:tc>
        <w:tc>
          <w:tcPr>
            <w:tcW w:type="dxa" w:w="2160"/>
          </w:tcPr>
          <w:p>
            <w:r>
              <w:t>$15,000</w:t>
            </w:r>
          </w:p>
        </w:tc>
        <w:tc>
          <w:tcPr>
            <w:tcW w:type="dxa" w:w="2160"/>
          </w:tcPr>
          <w:p>
            <w:r>
              <w:t>2026 - 2061</w:t>
            </w:r>
          </w:p>
        </w:tc>
        <w:tc>
          <w:tcPr>
            <w:tcW w:type="dxa" w:w="2160"/>
          </w:tcPr>
          <w:p>
            <w:r>
              <w:t>1.00% - 3.25%</w:t>
            </w:r>
          </w:p>
        </w:tc>
      </w:tr>
      <w:tr>
        <w:tc>
          <w:tcPr>
            <w:tcW w:type="dxa" w:w="2160"/>
          </w:tcPr>
          <w:p>
            <w:r>
              <w:t>April 2022 Notes</w:t>
            </w:r>
          </w:p>
        </w:tc>
        <w:tc>
          <w:tcPr>
            <w:tcW w:type="dxa" w:w="2160"/>
          </w:tcPr>
          <w:p>
            <w:r>
              <w:t>$11,250</w:t>
            </w:r>
          </w:p>
        </w:tc>
        <w:tc>
          <w:tcPr>
            <w:tcW w:type="dxa" w:w="2160"/>
          </w:tcPr>
          <w:p>
            <w:r>
              <w:t>2025 - 2062</w:t>
            </w:r>
          </w:p>
        </w:tc>
        <w:tc>
          <w:tcPr>
            <w:tcW w:type="dxa" w:w="2160"/>
          </w:tcPr>
          <w:p>
            <w:r>
              <w:t>3.00% - 4.10%</w:t>
            </w:r>
          </w:p>
        </w:tc>
      </w:tr>
      <w:tr>
        <w:tc>
          <w:tcPr>
            <w:tcW w:type="dxa" w:w="2160"/>
          </w:tcPr>
          <w:p>
            <w:r>
              <w:t>Dec 2022 Notes</w:t>
            </w:r>
          </w:p>
        </w:tc>
        <w:tc>
          <w:tcPr>
            <w:tcW w:type="dxa" w:w="2160"/>
          </w:tcPr>
          <w:p>
            <w:r>
              <w:t>$7,000</w:t>
            </w:r>
          </w:p>
        </w:tc>
        <w:tc>
          <w:tcPr>
            <w:tcW w:type="dxa" w:w="2160"/>
          </w:tcPr>
          <w:p>
            <w:r>
              <w:t>2025 - 2032</w:t>
            </w:r>
          </w:p>
        </w:tc>
        <w:tc>
          <w:tcPr>
            <w:tcW w:type="dxa" w:w="2160"/>
          </w:tcPr>
          <w:p>
            <w:r>
              <w:t>4.55% - 4.70%</w:t>
            </w:r>
          </w:p>
        </w:tc>
      </w:tr>
      <w:tr>
        <w:tc>
          <w:tcPr>
            <w:tcW w:type="dxa" w:w="2160"/>
          </w:tcPr>
          <w:p>
            <w:r>
              <w:t>**Total**</w:t>
            </w:r>
          </w:p>
        </w:tc>
        <w:tc>
          <w:tcPr>
            <w:tcW w:type="dxa" w:w="2160"/>
          </w:tcPr>
          <w:p>
            <w:r>
              <w:t>**$58,000**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/>
      <w:r>
        <w:rPr>
          <w:i/>
        </w:rPr>
        <w:t>(Source: amazon_2024.pdf, Page 69, Table: Note 6 — DEBT)</w:t>
      </w:r>
      <w:r/>
    </w:p>
    <w:p>
      <w:r/>
    </w:p>
    <w:p>
      <w:r/>
      <w:r>
        <w:rPr>
          <w:b/>
        </w:rPr>
        <w:t>*Short-Term Debt and Floating Rate Exposure</w:t>
      </w:r>
      <w:r>
        <w:rPr>
          <w:i/>
        </w:rPr>
      </w:r>
    </w:p>
    <w:p>
      <w:r>
        <w:t>The company maintains several credit facilities and programs, which represent its primary exposure to floating interest rates. However, most of these were undrawn as of December 31, 2024.</w:t>
      </w:r>
    </w:p>
    <w:p>
      <w:r/>
    </w:p>
    <w:p>
      <w:pPr>
        <w:pStyle w:val="ListBullet"/>
      </w:pPr>
      <w:r/>
      <w:r>
        <w:rPr>
          <w:b/>
        </w:rPr>
        <w:t>Revolving Credit Facilities (Floating Rate):</w:t>
      </w:r>
      <w:r/>
    </w:p>
    <w:p>
      <w:pPr>
        <w:pStyle w:val="ListBullet"/>
      </w:pPr>
      <w:r>
        <w:t xml:space="preserve">A </w:t>
      </w:r>
      <w:r>
        <w:rPr>
          <w:b/>
        </w:rPr>
        <w:t>$15.0 billion unsecured revolving credit facility</w:t>
      </w:r>
      <w:r>
        <w:t xml:space="preserve"> is available through November 2028. The interest rate is the applicable benchmark rate plus 0.45%. There were no borrowings outstanding under this facility as of year-end 2024.</w:t>
      </w:r>
    </w:p>
    <w:p>
      <w:pPr>
        <w:pStyle w:val="ListBullet"/>
      </w:pPr>
      <w:r>
        <w:t xml:space="preserve">A </w:t>
      </w:r>
      <w:r>
        <w:rPr>
          <w:b/>
        </w:rPr>
        <w:t>$5.0 billion unsecured 364-day revolving credit facility</w:t>
      </w:r>
      <w:r>
        <w:t xml:space="preserve"> matures in October 2025. The interest rate is the Secured Overnight Financing Rate (SOFR) plus 0.45%. There were no borrowings outstanding under this facility as of year-end 2024.</w:t>
      </w:r>
    </w:p>
    <w:p>
      <w:r>
        <w:t xml:space="preserve">    </w:t>
      </w:r>
      <w:r>
        <w:rPr>
          <w:i/>
        </w:rPr>
        <w:t>(Source: amazon_2024.pdf, Page 70, Section: Note 6 — DEBT)</w:t>
      </w:r>
      <w:r/>
    </w:p>
    <w:p>
      <w:r/>
    </w:p>
    <w:p>
      <w:pPr>
        <w:pStyle w:val="ListBullet"/>
      </w:pPr>
      <w:r/>
      <w:r>
        <w:rPr>
          <w:b/>
        </w:rPr>
        <w:t>Terminated Floating Rate Facility:</w:t>
      </w:r>
      <w:r>
        <w:t xml:space="preserve"> A secured revolving credit facility, which bore interest at SOFR plus 1.25%, was repaid and terminated as of September 30, 2024.</w:t>
      </w:r>
    </w:p>
    <w:p>
      <w:r>
        <w:t xml:space="preserve">    </w:t>
      </w:r>
      <w:r>
        <w:rPr>
          <w:i/>
        </w:rPr>
        <w:t>(Source: amazon_2024.pdf, Page 69, Section: Note 6 — DEBT)</w:t>
      </w:r>
      <w:r/>
    </w:p>
    <w:p>
      <w:r/>
    </w:p>
    <w:p>
      <w:pPr>
        <w:pStyle w:val="ListBullet"/>
      </w:pPr>
      <w:r/>
      <w:r>
        <w:rPr>
          <w:b/>
        </w:rPr>
        <w:t>Commercial Paper Programs:</w:t>
      </w:r>
      <w:r>
        <w:t xml:space="preserve"> The company has U.S. Dollar and Euro commercial paper programs for up to $20.0 billion for general corporate purposes. There were no borrowings outstanding under these programs as of December 31, 2024.</w:t>
      </w:r>
    </w:p>
    <w:p>
      <w:r>
        <w:t xml:space="preserve">    </w:t>
      </w:r>
      <w:r>
        <w:rPr>
          <w:i/>
        </w:rPr>
        <w:t>(Source: amazon_2024.pdf, Pages 69-70, Section: Note 6 — DEBT)</w:t>
      </w:r>
      <w:r/>
    </w:p>
    <w:p>
      <w:r/>
    </w:p>
    <w:p>
      <w:pPr>
        <w:pStyle w:val="ListBullet"/>
      </w:pPr>
      <w:r/>
      <w:r>
        <w:rPr>
          <w:b/>
        </w:rPr>
        <w:t>Other Short-Term Facilities:</w:t>
      </w:r>
      <w:r>
        <w:t xml:space="preserve"> The company utilizes other short-term credit facilities for working capital. As of December 31, 2024, there was $151 million of borrowings outstanding under these facilities.</w:t>
      </w:r>
    </w:p>
    <w:p>
      <w:r>
        <w:t xml:space="preserve">    </w:t>
      </w:r>
      <w:r>
        <w:rPr>
          <w:i/>
        </w:rPr>
        <w:t>(Source: amazon_2024.pdf, Page 70, Section: Note 6 — DEBT)</w:t>
      </w:r>
      <w:r/>
    </w:p>
    <w:p>
      <w:r/>
    </w:p>
    <w:p>
      <w:r/>
      <w:r>
        <w:rPr>
          <w:b/>
        </w:rPr>
        <w:t>Citations:</w:t>
      </w:r>
      <w:r/>
    </w:p>
    <w:p>
      <w:r/>
    </w:p>
    <w:p>
      <w:pPr>
        <w:pStyle w:val="ListBullet"/>
      </w:pPr>
      <w:r>
        <w:t>amazon_2024.pdf, Page 43, Item 7A. Quantitative and Qualitative Disclosures About Market Risk</w:t>
      </w:r>
    </w:p>
    <w:p>
      <w:pPr>
        <w:pStyle w:val="ListBullet"/>
      </w:pPr>
      <w:r>
        <w:t>amazon_2024.pdf, Page 69, Note 6 — DEBT</w:t>
      </w:r>
    </w:p>
    <w:p>
      <w:pPr>
        <w:pStyle w:val="ListBullet"/>
      </w:pPr>
      <w:r>
        <w:t>amazon_2024.pdf, Page 70, Note 6 — DEBT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