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E8AB" w14:textId="77777777" w:rsidR="00044408" w:rsidRDefault="00E5086B">
      <w:pPr>
        <w:pStyle w:val="Title"/>
      </w:pPr>
      <w:r>
        <w:t>Introducing the PIP Innovation Hub: A Home for Novel Work on Poverty and Inequality Measurement</w:t>
      </w:r>
    </w:p>
    <w:p w14:paraId="7E84B7EB" w14:textId="6C2E994A" w:rsidR="00044408" w:rsidRDefault="00E5086B">
      <w:pPr>
        <w:pStyle w:val="Author"/>
      </w:pPr>
      <w:r>
        <w:t>Authors?</w:t>
      </w:r>
    </w:p>
    <w:p w14:paraId="44909D5E" w14:textId="77777777" w:rsidR="00044408" w:rsidRDefault="00E5086B">
      <w:pPr>
        <w:pStyle w:val="Date"/>
      </w:pPr>
      <w:r>
        <w:t>2026-03-22</w:t>
      </w:r>
    </w:p>
    <w:p w14:paraId="7AF207AC" w14:textId="4C4FDD1A" w:rsidR="00044408" w:rsidRDefault="00E5086B">
      <w:pPr>
        <w:pStyle w:val="FirstParagraph"/>
      </w:pPr>
      <w:r>
        <w:t xml:space="preserve">Measuring global poverty is one of the most consequential tasks in </w:t>
      </w:r>
      <w:proofErr w:type="gramStart"/>
      <w:r>
        <w:t>development economics</w:t>
      </w:r>
      <w:proofErr w:type="gramEnd"/>
      <w:r>
        <w:t xml:space="preserve">. The estimates produced by the World Bank’s </w:t>
      </w:r>
      <w:hyperlink r:id="rId7">
        <w:r w:rsidR="00044408">
          <w:rPr>
            <w:rStyle w:val="Hyperlink"/>
          </w:rPr>
          <w:t>Poverty and Inequality Platform (PIP)</w:t>
        </w:r>
      </w:hyperlink>
      <w:r>
        <w:t xml:space="preserve"> inform policy debates, guide resource allocation, and shape our collective understanding of who is poor and where. Yet the methodological choices that underpin those numbers</w:t>
      </w:r>
      <w:r w:rsidR="00B02464">
        <w:t>--</w:t>
      </w:r>
      <w:r>
        <w:t>how welfare is measured, how households are compared, how urban and rural areas are defined</w:t>
      </w:r>
      <w:r w:rsidR="00B02464">
        <w:t>--</w:t>
      </w:r>
      <w:r>
        <w:t>are far from settled. Each decision can shift millions of people above or below the poverty line.</w:t>
      </w:r>
    </w:p>
    <w:p w14:paraId="321D3A3C" w14:textId="2EC3DCF2" w:rsidR="00044408" w:rsidRDefault="00E5086B">
      <w:pPr>
        <w:pStyle w:val="BodyText"/>
      </w:pPr>
      <w:r>
        <w:t xml:space="preserve">The </w:t>
      </w:r>
      <w:r>
        <w:rPr>
          <w:b/>
          <w:bCs/>
        </w:rPr>
        <w:t>PIP Innovation Hub</w:t>
      </w:r>
      <w:r>
        <w:t xml:space="preserve"> is a new platform</w:t>
      </w:r>
      <w:r w:rsidR="00B02464">
        <w:t>--</w:t>
      </w:r>
      <w:r>
        <w:t>a home for novel work on poverty and inequality measurement. It enables researchers, policymakers, and the public to explore how alternative methodological approaches, drawn from peer-reviewed research, affect poverty and inequality estimates. It does so by placing these alternatives alongside the World Bank’s official numbers, making the implications of methodological choices transparent and accessible.</w:t>
      </w:r>
    </w:p>
    <w:p w14:paraId="264FE73D" w14:textId="77777777" w:rsidR="00044408" w:rsidRDefault="00E5086B">
      <w:pPr>
        <w:pStyle w:val="BodyText"/>
      </w:pPr>
      <w:r>
        <w:t xml:space="preserve">The Hub launches with two core components. The </w:t>
      </w:r>
      <w:r>
        <w:rPr>
          <w:b/>
          <w:bCs/>
        </w:rPr>
        <w:t>Deep Dives</w:t>
      </w:r>
      <w:r>
        <w:t xml:space="preserve"> section presents estimates from four peer-reviewed papers, each of which modifies a different step of the standard PIP methodology, allowing users to compare the official poverty estimates to those produced using the alternative approach. Over time, additional methods will be added. All data are available for download. The </w:t>
      </w:r>
      <w:r>
        <w:rPr>
          <w:b/>
          <w:bCs/>
        </w:rPr>
        <w:t>Research Repository</w:t>
      </w:r>
      <w:r>
        <w:t xml:space="preserve"> provides AI-powered semantic search over hundreds of World Bank Policy Research Working Papers, making it easier to discover relevant research on poverty me</w:t>
      </w:r>
      <w:r>
        <w:t>asurement and related topics.</w:t>
      </w:r>
    </w:p>
    <w:p w14:paraId="6266E806" w14:textId="77777777" w:rsidR="00044408" w:rsidRDefault="00E5086B">
      <w:pPr>
        <w:pStyle w:val="Heading2"/>
      </w:pPr>
      <w:bookmarkStart w:id="0" w:name="how-methodological-assumptions-matter"/>
      <w:r>
        <w:t>How methodological assumptions matter</w:t>
      </w:r>
    </w:p>
    <w:p w14:paraId="20E0185B" w14:textId="3901FFA0" w:rsidR="00044408" w:rsidRDefault="00E5086B">
      <w:pPr>
        <w:pStyle w:val="FirstParagraph"/>
      </w:pPr>
      <w:r>
        <w:t>Broadly speaking, the PIP methodology follows a five-step process. First, household survey data are obtained from relevant sources. Second, the survey data are used to create welfare aggregates</w:t>
      </w:r>
      <w:r w:rsidR="00B02464">
        <w:t>--</w:t>
      </w:r>
      <w:r>
        <w:t xml:space="preserve">estimates of households’ income or consumption. Third, the welfare aggregates are adjusted for differences in price levels across countries and over time to foster international comparability. Fourth, poverty and inequality are estimated for each country-year. Fifth, the estimates are extrapolated or interpolated to a common reference </w:t>
      </w:r>
      <w:proofErr w:type="gramStart"/>
      <w:r>
        <w:t>year</w:t>
      </w:r>
      <w:proofErr w:type="gramEnd"/>
      <w:r>
        <w:t xml:space="preserve"> and a population-weighted global poverty rate is calculated. (For a detailed treatment, see the </w:t>
      </w:r>
      <w:hyperlink r:id="rId8" w:anchor="step-3-converting-welfare-aggregates">
        <w:r w:rsidR="00044408">
          <w:rPr>
            <w:rStyle w:val="Hyperlink"/>
          </w:rPr>
          <w:t>PIP Methodological Handbook</w:t>
        </w:r>
      </w:hyperlink>
      <w:r>
        <w:t>.)</w:t>
      </w:r>
    </w:p>
    <w:p w14:paraId="50131D4B" w14:textId="6B655727" w:rsidR="00044408" w:rsidRDefault="00E5086B">
      <w:pPr>
        <w:pStyle w:val="BodyText"/>
      </w:pPr>
      <w:r>
        <w:lastRenderedPageBreak/>
        <w:t>Each of the four methods in the Deep Dives modifies a different step in this chain. To illustrate how these choices matter in practice, consider Colombia</w:t>
      </w:r>
      <w:r w:rsidR="00B02464">
        <w:t>--</w:t>
      </w:r>
      <w:r>
        <w:t>a country with relatively frequent household surveys.</w:t>
      </w:r>
    </w:p>
    <w:tbl>
      <w:tblPr>
        <w:tblStyle w:val="Table"/>
        <w:tblW w:w="5000" w:type="pct"/>
        <w:tblLayout w:type="fixed"/>
        <w:tblLook w:val="0000" w:firstRow="0" w:lastRow="0" w:firstColumn="0" w:lastColumn="0" w:noHBand="0" w:noVBand="0"/>
      </w:tblPr>
      <w:tblGrid>
        <w:gridCol w:w="9576"/>
      </w:tblGrid>
      <w:tr w:rsidR="00044408" w14:paraId="3A8C4439" w14:textId="77777777">
        <w:tc>
          <w:tcPr>
            <w:tcW w:w="7920" w:type="dxa"/>
          </w:tcPr>
          <w:p w14:paraId="0857B5F8" w14:textId="77777777" w:rsidR="00044408" w:rsidRDefault="00E5086B">
            <w:pPr>
              <w:pStyle w:val="Compact"/>
              <w:jc w:val="center"/>
            </w:pPr>
            <w:bookmarkStart w:id="1" w:name="fig-chart1-pip-baseline"/>
            <w:r>
              <w:rPr>
                <w:noProof/>
              </w:rPr>
              <w:drawing>
                <wp:inline distT="0" distB="0" distL="0" distR="0" wp14:anchorId="1717EED3" wp14:editId="0C31CE47">
                  <wp:extent cx="5334000" cy="34290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ip-innovation-hub-blog_files/figure-docx/fig-chart1-pip-baseline-1.png"/>
                          <pic:cNvPicPr>
                            <a:picLocks noChangeAspect="1" noChangeArrowheads="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14:paraId="27EC97E7" w14:textId="77777777" w:rsidR="00044408" w:rsidRDefault="00E5086B">
            <w:pPr>
              <w:pStyle w:val="ImageCaption"/>
              <w:spacing w:before="200"/>
            </w:pPr>
            <w:r>
              <w:t>Figure 1: Poverty headcount at $2.15/day (2017 PPPs), Colombia</w:t>
            </w:r>
          </w:p>
        </w:tc>
        <w:bookmarkEnd w:id="1"/>
      </w:tr>
    </w:tbl>
    <w:p w14:paraId="3222073D" w14:textId="44A8708B" w:rsidR="00044408" w:rsidRDefault="00E5086B">
      <w:pPr>
        <w:pStyle w:val="BodyText"/>
      </w:pPr>
      <w:r>
        <w:rPr>
          <w:i/>
          <w:iCs/>
        </w:rPr>
        <w:t>The standard PIP methodology suggests that 4.9%, 5.3%, and 9.3% of Colombians lived below the international poverty line of $2.15 per day in 2015, 2019, and 2022 respectively. These estimates come from different PIP data vintages and are not directly comparable over time</w:t>
      </w:r>
      <w:r w:rsidR="00B02464">
        <w:rPr>
          <w:i/>
          <w:iCs/>
        </w:rPr>
        <w:t>--</w:t>
      </w:r>
      <w:r>
        <w:rPr>
          <w:i/>
          <w:iCs/>
        </w:rPr>
        <w:t>they serve here only as the baseline against which each alternative method is assessed.</w:t>
      </w:r>
    </w:p>
    <w:tbl>
      <w:tblPr>
        <w:tblStyle w:val="Table"/>
        <w:tblW w:w="5000" w:type="pct"/>
        <w:tblLayout w:type="fixed"/>
        <w:tblLook w:val="0000" w:firstRow="0" w:lastRow="0" w:firstColumn="0" w:lastColumn="0" w:noHBand="0" w:noVBand="0"/>
      </w:tblPr>
      <w:tblGrid>
        <w:gridCol w:w="9576"/>
      </w:tblGrid>
      <w:tr w:rsidR="00044408" w14:paraId="458CB77F" w14:textId="77777777">
        <w:tc>
          <w:tcPr>
            <w:tcW w:w="7920" w:type="dxa"/>
          </w:tcPr>
          <w:p w14:paraId="5E7C8267" w14:textId="77777777" w:rsidR="00044408" w:rsidRDefault="00E5086B">
            <w:pPr>
              <w:pStyle w:val="Compact"/>
              <w:jc w:val="center"/>
            </w:pPr>
            <w:bookmarkStart w:id="2" w:name="fig-chart2-stb"/>
            <w:r>
              <w:rPr>
                <w:noProof/>
              </w:rPr>
              <w:lastRenderedPageBreak/>
              <w:drawing>
                <wp:inline distT="0" distB="0" distL="0" distR="0" wp14:anchorId="6DC3210E" wp14:editId="71D7F6D1">
                  <wp:extent cx="5334000" cy="3429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ip-innovation-hub-blog_files/figure-docx/fig-chart2-stb-1.png"/>
                          <pic:cNvPicPr>
                            <a:picLocks noChangeAspect="1" noChangeArrowheads="1"/>
                          </pic:cNvPicPr>
                        </pic:nvPicPr>
                        <pic:blipFill>
                          <a:blip r:embed="rId10"/>
                          <a:stretch>
                            <a:fillRect/>
                          </a:stretch>
                        </pic:blipFill>
                        <pic:spPr bwMode="auto">
                          <a:xfrm>
                            <a:off x="0" y="0"/>
                            <a:ext cx="5334000" cy="3429000"/>
                          </a:xfrm>
                          <a:prstGeom prst="rect">
                            <a:avLst/>
                          </a:prstGeom>
                          <a:noFill/>
                          <a:ln w="9525">
                            <a:noFill/>
                            <a:headEnd/>
                            <a:tailEnd/>
                          </a:ln>
                        </pic:spPr>
                      </pic:pic>
                    </a:graphicData>
                  </a:graphic>
                </wp:inline>
              </w:drawing>
            </w:r>
          </w:p>
          <w:p w14:paraId="69A3A20D" w14:textId="77777777" w:rsidR="00044408" w:rsidRDefault="00E5086B">
            <w:pPr>
              <w:pStyle w:val="ImageCaption"/>
              <w:spacing w:before="200"/>
            </w:pPr>
            <w:r>
              <w:t>Figure 2: Household allocation: per capita vs. square root, Colombia 2019</w:t>
            </w:r>
          </w:p>
        </w:tc>
        <w:bookmarkEnd w:id="2"/>
      </w:tr>
    </w:tbl>
    <w:p w14:paraId="426856C2" w14:textId="6D366F81" w:rsidR="00044408" w:rsidRDefault="00E5086B">
      <w:pPr>
        <w:pStyle w:val="BodyText"/>
      </w:pPr>
      <w:r>
        <w:rPr>
          <w:i/>
          <w:iCs/>
        </w:rPr>
        <w:t xml:space="preserve">How welfare is allocated within a household </w:t>
      </w:r>
      <w:proofErr w:type="gramStart"/>
      <w:r>
        <w:rPr>
          <w:i/>
          <w:iCs/>
        </w:rPr>
        <w:t>matters</w:t>
      </w:r>
      <w:proofErr w:type="gramEnd"/>
      <w:r>
        <w:rPr>
          <w:i/>
          <w:iCs/>
        </w:rPr>
        <w:t>. The standard PIP methodology divides total household consumption or income by household size</w:t>
      </w:r>
      <w:r w:rsidR="00B02464">
        <w:rPr>
          <w:i/>
          <w:iCs/>
        </w:rPr>
        <w:t>--</w:t>
      </w:r>
      <w:r>
        <w:rPr>
          <w:i/>
          <w:iCs/>
        </w:rPr>
        <w:t>the per capita approach</w:t>
      </w:r>
      <w:r w:rsidR="00B02464">
        <w:rPr>
          <w:i/>
          <w:iCs/>
        </w:rPr>
        <w:t>--</w:t>
      </w:r>
      <w:r>
        <w:rPr>
          <w:i/>
          <w:iCs/>
        </w:rPr>
        <w:t xml:space="preserve">implicitly assuming no economies of scale. A family of six is assumed to need three times as much as a family of two. </w:t>
      </w:r>
      <w:hyperlink r:id="rId11">
        <w:r w:rsidR="00044408" w:rsidRPr="00B02464">
          <w:rPr>
            <w:rStyle w:val="Hyperlink"/>
            <w:i/>
            <w:iCs/>
            <w:highlight w:val="yellow"/>
          </w:rPr>
          <w:t>Jolliffe and Tetteh-Baah (2024)</w:t>
        </w:r>
      </w:hyperlink>
      <w:r>
        <w:rPr>
          <w:i/>
          <w:iCs/>
        </w:rPr>
        <w:t xml:space="preserve"> use a square root equivalence scale that accounts for shared household goods such as housing and consumer durables. In Colombia, this raises the estimated extreme poverty rate from 5.3% to 6.2%. Globally, about 264 million people</w:t>
      </w:r>
      <w:r w:rsidR="00B02464">
        <w:rPr>
          <w:i/>
          <w:iCs/>
        </w:rPr>
        <w:t>--</w:t>
      </w:r>
      <w:r>
        <w:rPr>
          <w:i/>
          <w:iCs/>
        </w:rPr>
        <w:t>roughly 40% of the extreme poor</w:t>
      </w:r>
      <w:r w:rsidR="00B02464">
        <w:rPr>
          <w:i/>
          <w:iCs/>
        </w:rPr>
        <w:t>--</w:t>
      </w:r>
      <w:r>
        <w:rPr>
          <w:i/>
          <w:iCs/>
        </w:rPr>
        <w:t>switch poverty status under this approach.</w:t>
      </w:r>
    </w:p>
    <w:tbl>
      <w:tblPr>
        <w:tblStyle w:val="Table"/>
        <w:tblW w:w="5000" w:type="pct"/>
        <w:tblLayout w:type="fixed"/>
        <w:tblLook w:val="0000" w:firstRow="0" w:lastRow="0" w:firstColumn="0" w:lastColumn="0" w:noHBand="0" w:noVBand="0"/>
      </w:tblPr>
      <w:tblGrid>
        <w:gridCol w:w="9576"/>
      </w:tblGrid>
      <w:tr w:rsidR="00044408" w14:paraId="732A5BA7" w14:textId="77777777">
        <w:tc>
          <w:tcPr>
            <w:tcW w:w="7920" w:type="dxa"/>
          </w:tcPr>
          <w:p w14:paraId="37D51F3A" w14:textId="77777777" w:rsidR="00044408" w:rsidRDefault="00E5086B">
            <w:pPr>
              <w:pStyle w:val="Compact"/>
              <w:jc w:val="center"/>
            </w:pPr>
            <w:bookmarkStart w:id="3" w:name="fig-chart3-dm"/>
            <w:r>
              <w:rPr>
                <w:noProof/>
              </w:rPr>
              <w:lastRenderedPageBreak/>
              <w:drawing>
                <wp:inline distT="0" distB="0" distL="0" distR="0" wp14:anchorId="05249CF3" wp14:editId="68A5D4D7">
                  <wp:extent cx="5334000" cy="3429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pip-innovation-hub-blog_files/figure-docx/fig-chart3-dm-1.png"/>
                          <pic:cNvPicPr>
                            <a:picLocks noChangeAspect="1" noChangeArrowheads="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14:paraId="061BCA3E" w14:textId="77777777" w:rsidR="00044408" w:rsidRDefault="00E5086B">
            <w:pPr>
              <w:pStyle w:val="ImageCaption"/>
              <w:spacing w:before="200"/>
            </w:pPr>
            <w:r>
              <w:t>Figure 3: Welfare conversion: income vs. consumption-based estimate, Colombia 2022</w:t>
            </w:r>
          </w:p>
        </w:tc>
        <w:bookmarkEnd w:id="3"/>
      </w:tr>
    </w:tbl>
    <w:p w14:paraId="3B0AF92C" w14:textId="6504548F" w:rsidR="00044408" w:rsidRDefault="00E5086B">
      <w:pPr>
        <w:pStyle w:val="BodyText"/>
      </w:pPr>
      <w:r>
        <w:rPr>
          <w:i/>
          <w:iCs/>
        </w:rPr>
        <w:t>PIP uses a mix of income and consumption surveys depending on what is available in each country. But income distributions tend to be more unequal than consumption distributions</w:t>
      </w:r>
      <w:r w:rsidR="00B02464">
        <w:rPr>
          <w:i/>
          <w:iCs/>
        </w:rPr>
        <w:t>--</w:t>
      </w:r>
      <w:r>
        <w:rPr>
          <w:i/>
          <w:iCs/>
        </w:rPr>
        <w:t xml:space="preserve">incomes can be very low or even negative after capital shocks, while subsistence requires a minimum level of daily consumption. High earners, meanwhile, save and invest rather than consume the entirety of their income. </w:t>
      </w:r>
      <w:hyperlink r:id="rId13">
        <w:proofErr w:type="spellStart"/>
        <w:r w:rsidR="00044408">
          <w:rPr>
            <w:rStyle w:val="Hyperlink"/>
            <w:i/>
            <w:iCs/>
          </w:rPr>
          <w:t>Wollburg</w:t>
        </w:r>
        <w:proofErr w:type="spellEnd"/>
        <w:r w:rsidR="00044408">
          <w:rPr>
            <w:rStyle w:val="Hyperlink"/>
            <w:i/>
            <w:iCs/>
          </w:rPr>
          <w:t xml:space="preserve"> et al. (2023)</w:t>
        </w:r>
      </w:hyperlink>
      <w:r>
        <w:rPr>
          <w:i/>
          <w:iCs/>
        </w:rPr>
        <w:t xml:space="preserve"> developed an empirically derived conversion from income to consumption distributions, exploiting 150 surveys spanning 16 countries where both measures exist. For Colombia</w:t>
      </w:r>
      <w:r w:rsidR="00B02464">
        <w:rPr>
          <w:i/>
          <w:iCs/>
        </w:rPr>
        <w:t>--</w:t>
      </w:r>
      <w:r>
        <w:rPr>
          <w:i/>
          <w:iCs/>
        </w:rPr>
        <w:t>an income-survey country</w:t>
      </w:r>
      <w:r w:rsidR="00B02464">
        <w:rPr>
          <w:i/>
          <w:iCs/>
        </w:rPr>
        <w:t>--</w:t>
      </w:r>
      <w:r>
        <w:rPr>
          <w:i/>
          <w:iCs/>
        </w:rPr>
        <w:t>the conversion more than halves the estimated poverty rate, from 9.3% to 4.0%.</w:t>
      </w:r>
    </w:p>
    <w:tbl>
      <w:tblPr>
        <w:tblStyle w:val="Table"/>
        <w:tblW w:w="5000" w:type="pct"/>
        <w:tblLayout w:type="fixed"/>
        <w:tblLook w:val="0000" w:firstRow="0" w:lastRow="0" w:firstColumn="0" w:lastColumn="0" w:noHBand="0" w:noVBand="0"/>
      </w:tblPr>
      <w:tblGrid>
        <w:gridCol w:w="9576"/>
      </w:tblGrid>
      <w:tr w:rsidR="00044408" w14:paraId="321BE34C" w14:textId="77777777">
        <w:tc>
          <w:tcPr>
            <w:tcW w:w="7920" w:type="dxa"/>
          </w:tcPr>
          <w:p w14:paraId="2F05EF37" w14:textId="77777777" w:rsidR="00044408" w:rsidRDefault="00E5086B">
            <w:pPr>
              <w:pStyle w:val="Compact"/>
              <w:jc w:val="center"/>
            </w:pPr>
            <w:bookmarkStart w:id="4" w:name="fig-chart4-sn"/>
            <w:r>
              <w:rPr>
                <w:noProof/>
              </w:rPr>
              <w:lastRenderedPageBreak/>
              <w:drawing>
                <wp:inline distT="0" distB="0" distL="0" distR="0" wp14:anchorId="3CE32FA5" wp14:editId="72A7AA39">
                  <wp:extent cx="5334000" cy="38100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pip-innovation-hub-blog_files/figure-docx/fig-chart4-sn-1.png"/>
                          <pic:cNvPicPr>
                            <a:picLocks noChangeAspect="1" noChangeArrowheads="1"/>
                          </pic:cNvPicPr>
                        </pic:nvPicPr>
                        <pic:blipFill>
                          <a:blip r:embed="rId14"/>
                          <a:stretch>
                            <a:fillRect/>
                          </a:stretch>
                        </pic:blipFill>
                        <pic:spPr bwMode="auto">
                          <a:xfrm>
                            <a:off x="0" y="0"/>
                            <a:ext cx="5334000" cy="3810000"/>
                          </a:xfrm>
                          <a:prstGeom prst="rect">
                            <a:avLst/>
                          </a:prstGeom>
                          <a:noFill/>
                          <a:ln w="9525">
                            <a:noFill/>
                            <a:headEnd/>
                            <a:tailEnd/>
                          </a:ln>
                        </pic:spPr>
                      </pic:pic>
                    </a:graphicData>
                  </a:graphic>
                </wp:inline>
              </w:drawing>
            </w:r>
          </w:p>
          <w:p w14:paraId="11B6EFD8" w14:textId="77777777" w:rsidR="00044408" w:rsidRDefault="00E5086B">
            <w:pPr>
              <w:pStyle w:val="ImageCaption"/>
              <w:spacing w:before="200"/>
            </w:pPr>
            <w:r>
              <w:t>Figure 4: Urban-rural definitions: how poverty varies across location types, Colombia 2015</w:t>
            </w:r>
          </w:p>
        </w:tc>
        <w:bookmarkEnd w:id="4"/>
      </w:tr>
    </w:tbl>
    <w:p w14:paraId="72EBAC6E" w14:textId="1A2FADBD" w:rsidR="00044408" w:rsidRDefault="00E5086B">
      <w:pPr>
        <w:pStyle w:val="BodyText"/>
      </w:pPr>
      <w:r>
        <w:rPr>
          <w:i/>
          <w:iCs/>
        </w:rPr>
        <w:t>The standard practice of measuring global poverty implicitly adopts each country’s official definition of urban areas</w:t>
      </w:r>
      <w:r w:rsidR="00B02464">
        <w:rPr>
          <w:i/>
          <w:iCs/>
        </w:rPr>
        <w:t>--</w:t>
      </w:r>
      <w:r>
        <w:rPr>
          <w:i/>
          <w:iCs/>
        </w:rPr>
        <w:t xml:space="preserve">definitions that vary widely and are often outdated. </w:t>
      </w:r>
      <w:hyperlink r:id="rId15">
        <w:r w:rsidR="00044408">
          <w:rPr>
            <w:rStyle w:val="Hyperlink"/>
            <w:i/>
            <w:iCs/>
          </w:rPr>
          <w:t>Nakamura et al. (2024)</w:t>
        </w:r>
      </w:hyperlink>
      <w:r>
        <w:rPr>
          <w:i/>
          <w:iCs/>
        </w:rPr>
        <w:t xml:space="preserve"> apply two globally consistent approaches: the Degree of Urbanization (DOU), which uses uniform population density thresholds, and the Dartboard (DB) method, which calibrates thresholds to each country’s own density distribution. Both go well beyond a simple urban-rural dichotomy, distinguishing urban cores, suburbs, clusters, and towns. The national poverty rate</w:t>
      </w:r>
      <w:r w:rsidR="00B02464">
        <w:rPr>
          <w:i/>
          <w:iCs/>
        </w:rPr>
        <w:t>--</w:t>
      </w:r>
      <w:r>
        <w:rPr>
          <w:i/>
          <w:iCs/>
        </w:rPr>
        <w:t>shown as the horizontal line</w:t>
      </w:r>
      <w:r w:rsidR="00B02464">
        <w:rPr>
          <w:i/>
          <w:iCs/>
        </w:rPr>
        <w:t>--</w:t>
      </w:r>
      <w:r>
        <w:rPr>
          <w:i/>
          <w:iCs/>
        </w:rPr>
        <w:t>masks enormous within-country variation. In Colombia, poverty in rural areas reaches 10–14% while urban cores repor</w:t>
      </w:r>
      <w:r>
        <w:rPr>
          <w:i/>
          <w:iCs/>
        </w:rPr>
        <w:t>t rates near 2%. The chart also reveals that how “urban” and “rural” are defined matters: the DB method, which is relative to each country’s own density distribution, consistently produces higher rural poverty estimates than the absolute DOU thresholds.</w:t>
      </w:r>
    </w:p>
    <w:tbl>
      <w:tblPr>
        <w:tblStyle w:val="Table"/>
        <w:tblW w:w="5000" w:type="pct"/>
        <w:tblLayout w:type="fixed"/>
        <w:tblLook w:val="0000" w:firstRow="0" w:lastRow="0" w:firstColumn="0" w:lastColumn="0" w:noHBand="0" w:noVBand="0"/>
      </w:tblPr>
      <w:tblGrid>
        <w:gridCol w:w="9576"/>
      </w:tblGrid>
      <w:tr w:rsidR="00044408" w14:paraId="77A7F405" w14:textId="77777777">
        <w:tc>
          <w:tcPr>
            <w:tcW w:w="7920" w:type="dxa"/>
          </w:tcPr>
          <w:p w14:paraId="5642DF49" w14:textId="77777777" w:rsidR="00044408" w:rsidRDefault="00E5086B">
            <w:pPr>
              <w:pStyle w:val="Compact"/>
              <w:jc w:val="center"/>
            </w:pPr>
            <w:bookmarkStart w:id="5" w:name="fig-chart5-yk-gap"/>
            <w:r>
              <w:rPr>
                <w:noProof/>
              </w:rPr>
              <w:lastRenderedPageBreak/>
              <w:drawing>
                <wp:inline distT="0" distB="0" distL="0" distR="0" wp14:anchorId="253A5262" wp14:editId="49772EE0">
                  <wp:extent cx="5334000" cy="3429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ip-innovation-hub-blog_files/figure-docx/fig-chart5-yk-gap-1.png"/>
                          <pic:cNvPicPr>
                            <a:picLocks noChangeAspect="1" noChangeArrowheads="1"/>
                          </pic:cNvPicPr>
                        </pic:nvPicPr>
                        <pic:blipFill>
                          <a:blip r:embed="rId16"/>
                          <a:stretch>
                            <a:fillRect/>
                          </a:stretch>
                        </pic:blipFill>
                        <pic:spPr bwMode="auto">
                          <a:xfrm>
                            <a:off x="0" y="0"/>
                            <a:ext cx="5334000" cy="3429000"/>
                          </a:xfrm>
                          <a:prstGeom prst="rect">
                            <a:avLst/>
                          </a:prstGeom>
                          <a:noFill/>
                          <a:ln w="9525">
                            <a:noFill/>
                            <a:headEnd/>
                            <a:tailEnd/>
                          </a:ln>
                        </pic:spPr>
                      </pic:pic>
                    </a:graphicData>
                  </a:graphic>
                </wp:inline>
              </w:drawing>
            </w:r>
          </w:p>
          <w:p w14:paraId="5E7CDFF0" w14:textId="77777777" w:rsidR="00044408" w:rsidRDefault="00E5086B">
            <w:pPr>
              <w:pStyle w:val="ImageCaption"/>
              <w:spacing w:before="200"/>
            </w:pPr>
            <w:r>
              <w:t>Figure 5: The NA–survey welfare gap across countries</w:t>
            </w:r>
          </w:p>
        </w:tc>
        <w:bookmarkEnd w:id="5"/>
      </w:tr>
    </w:tbl>
    <w:p w14:paraId="01494AFF" w14:textId="77777777" w:rsidR="00044408" w:rsidRDefault="00E5086B">
      <w:pPr>
        <w:pStyle w:val="BodyText"/>
      </w:pPr>
      <w:r>
        <w:rPr>
          <w:i/>
          <w:iCs/>
        </w:rPr>
        <w:t xml:space="preserve">Estimates of average per capita consumption and income from national accounts can differ substantially from corresponding measures of consumption and income from household surveys. With additional country-year data and updated to 2021 PPPs, this dataset builds on </w:t>
      </w:r>
      <w:hyperlink r:id="rId17">
        <w:r w:rsidR="00044408">
          <w:rPr>
            <w:rStyle w:val="Hyperlink"/>
            <w:i/>
            <w:iCs/>
          </w:rPr>
          <w:t xml:space="preserve">Prydz, Jolliffe, and </w:t>
        </w:r>
        <w:proofErr w:type="spellStart"/>
        <w:r w:rsidR="00044408">
          <w:rPr>
            <w:rStyle w:val="Hyperlink"/>
            <w:i/>
            <w:iCs/>
          </w:rPr>
          <w:t>Serajuddin</w:t>
        </w:r>
        <w:proofErr w:type="spellEnd"/>
        <w:r w:rsidR="00044408">
          <w:rPr>
            <w:rStyle w:val="Hyperlink"/>
            <w:i/>
            <w:iCs/>
          </w:rPr>
          <w:t xml:space="preserve"> (2022)</w:t>
        </w:r>
      </w:hyperlink>
      <w:r>
        <w:rPr>
          <w:i/>
          <w:iCs/>
        </w:rPr>
        <w:t xml:space="preserve"> to identify the magnitude of the gap between survey and national account means and to utilize this gap to correct for the “missing top”.</w:t>
      </w:r>
    </w:p>
    <w:p w14:paraId="73CED0C1" w14:textId="77777777" w:rsidR="00044408" w:rsidRDefault="00E5086B">
      <w:pPr>
        <w:pStyle w:val="BodyText"/>
      </w:pPr>
      <w:r>
        <w:rPr>
          <w:i/>
          <w:iCs/>
        </w:rPr>
        <w:t xml:space="preserve">Using over 2,000 household surveys </w:t>
      </w:r>
      <w:proofErr w:type="gramStart"/>
      <w:r>
        <w:rPr>
          <w:i/>
          <w:iCs/>
        </w:rPr>
        <w:t>matched to</w:t>
      </w:r>
      <w:proofErr w:type="gramEnd"/>
      <w:r>
        <w:rPr>
          <w:i/>
          <w:iCs/>
        </w:rPr>
        <w:t xml:space="preserve"> national accounts data since 1990, the means obtained from surveys are 26% lower on average compared to corresponding means from national accounts as measured by Household Final Consumption Expenditure (HFCE). The gap between survey means and GDP per capita is much larger (55% on average). There is a U-shaped pattern between a country’s GDP per capita and the gap, where the gap is smaller for countries with lower GDP per capita, but widens as GDP per capita increases, before narrowing again for h</w:t>
      </w:r>
      <w:r>
        <w:rPr>
          <w:i/>
          <w:iCs/>
        </w:rPr>
        <w:t>igh-income countries (</w:t>
      </w:r>
      <w:hyperlink w:anchor="fig-chart5-yk-gap">
        <w:r w:rsidR="00044408">
          <w:rPr>
            <w:rStyle w:val="Hyperlink"/>
            <w:i/>
            <w:iCs/>
          </w:rPr>
          <w:t>Figure 5</w:t>
        </w:r>
      </w:hyperlink>
      <w:r>
        <w:rPr>
          <w:i/>
          <w:iCs/>
        </w:rPr>
        <w:t>).</w:t>
      </w:r>
    </w:p>
    <w:p w14:paraId="602B7E30" w14:textId="77777777" w:rsidR="00044408" w:rsidRDefault="00E5086B">
      <w:pPr>
        <w:pStyle w:val="BodyText"/>
      </w:pPr>
      <w:r>
        <w:rPr>
          <w:i/>
          <w:iCs/>
        </w:rPr>
        <w:t xml:space="preserve">One potential explanation for the large gap between surveys and national accounts is that surveys disproportionately fail to fully capture the consumption and incomes of the richest households and hence are “missing” from the distribution captured by the survey. To explore this concept and its potential implications, </w:t>
      </w:r>
      <w:hyperlink r:id="rId18">
        <w:r w:rsidR="00044408">
          <w:rPr>
            <w:rStyle w:val="Hyperlink"/>
            <w:i/>
            <w:iCs/>
          </w:rPr>
          <w:t xml:space="preserve">Prydz, Jolliffe, and </w:t>
        </w:r>
        <w:proofErr w:type="spellStart"/>
        <w:r w:rsidR="00044408">
          <w:rPr>
            <w:rStyle w:val="Hyperlink"/>
            <w:i/>
            <w:iCs/>
          </w:rPr>
          <w:t>Serajuddin</w:t>
        </w:r>
        <w:proofErr w:type="spellEnd"/>
        <w:r w:rsidR="00044408">
          <w:rPr>
            <w:rStyle w:val="Hyperlink"/>
            <w:i/>
            <w:iCs/>
          </w:rPr>
          <w:t xml:space="preserve"> (2022)</w:t>
        </w:r>
      </w:hyperlink>
      <w:r>
        <w:rPr>
          <w:i/>
          <w:iCs/>
        </w:rPr>
        <w:t xml:space="preserve"> follow the adjustment methodology by </w:t>
      </w:r>
      <w:hyperlink r:id="rId19">
        <w:r w:rsidR="00044408">
          <w:rPr>
            <w:rStyle w:val="Hyperlink"/>
            <w:i/>
            <w:iCs/>
          </w:rPr>
          <w:t>Chandy and Seidel (2017)</w:t>
        </w:r>
      </w:hyperlink>
      <w:r>
        <w:rPr>
          <w:i/>
          <w:iCs/>
        </w:rPr>
        <w:t xml:space="preserve"> and attribute half of the survey–national account mean gap to the “missing” rich. If the richest individuals are missing from the distribution captured by surveys, adjustment approaches to include </w:t>
      </w:r>
      <w:r>
        <w:rPr>
          <w:i/>
          <w:iCs/>
        </w:rPr>
        <w:lastRenderedPageBreak/>
        <w:t xml:space="preserve">them, whilst minimal on poverty </w:t>
      </w:r>
      <w:proofErr w:type="gramStart"/>
      <w:r>
        <w:rPr>
          <w:i/>
          <w:iCs/>
        </w:rPr>
        <w:t>rates,</w:t>
      </w:r>
      <w:proofErr w:type="gramEnd"/>
      <w:r>
        <w:rPr>
          <w:i/>
          <w:iCs/>
        </w:rPr>
        <w:t xml:space="preserve"> will have large implications on the level of inequality.</w:t>
      </w:r>
    </w:p>
    <w:p w14:paraId="7F94E966" w14:textId="77777777" w:rsidR="00044408" w:rsidRDefault="00E5086B">
      <w:pPr>
        <w:pStyle w:val="BodyText"/>
      </w:pPr>
      <w:r>
        <w:rPr>
          <w:i/>
          <w:iCs/>
        </w:rPr>
        <w:t xml:space="preserve">Note: Outlier countries with data issues or where the survey </w:t>
      </w:r>
      <w:proofErr w:type="gramStart"/>
      <w:r>
        <w:rPr>
          <w:i/>
          <w:iCs/>
        </w:rPr>
        <w:t>mean</w:t>
      </w:r>
      <w:proofErr w:type="gramEnd"/>
      <w:r>
        <w:rPr>
          <w:i/>
          <w:iCs/>
        </w:rPr>
        <w:t xml:space="preserve"> is drastically higher than the national account </w:t>
      </w:r>
      <w:proofErr w:type="gramStart"/>
      <w:r>
        <w:rPr>
          <w:i/>
          <w:iCs/>
        </w:rPr>
        <w:t>mean</w:t>
      </w:r>
      <w:proofErr w:type="gramEnd"/>
      <w:r>
        <w:rPr>
          <w:i/>
          <w:iCs/>
        </w:rPr>
        <w:t xml:space="preserve"> </w:t>
      </w:r>
      <w:proofErr w:type="gramStart"/>
      <w:r>
        <w:rPr>
          <w:i/>
          <w:iCs/>
        </w:rPr>
        <w:t>have</w:t>
      </w:r>
      <w:proofErr w:type="gramEnd"/>
      <w:r>
        <w:rPr>
          <w:i/>
          <w:iCs/>
        </w:rPr>
        <w:t xml:space="preserve"> been removed from </w:t>
      </w:r>
      <w:hyperlink w:anchor="fig-chart5-yk-gap">
        <w:r w:rsidR="00044408">
          <w:rPr>
            <w:rStyle w:val="Hyperlink"/>
            <w:i/>
            <w:iCs/>
          </w:rPr>
          <w:t>Figure 5</w:t>
        </w:r>
      </w:hyperlink>
      <w:r>
        <w:rPr>
          <w:i/>
          <w:iCs/>
        </w:rPr>
        <w:t>.</w:t>
      </w:r>
    </w:p>
    <w:tbl>
      <w:tblPr>
        <w:tblStyle w:val="Table"/>
        <w:tblW w:w="5000" w:type="pct"/>
        <w:tblLayout w:type="fixed"/>
        <w:tblLook w:val="0000" w:firstRow="0" w:lastRow="0" w:firstColumn="0" w:lastColumn="0" w:noHBand="0" w:noVBand="0"/>
      </w:tblPr>
      <w:tblGrid>
        <w:gridCol w:w="9576"/>
      </w:tblGrid>
      <w:tr w:rsidR="00044408" w14:paraId="0F16AB48" w14:textId="77777777">
        <w:tc>
          <w:tcPr>
            <w:tcW w:w="7920" w:type="dxa"/>
          </w:tcPr>
          <w:p w14:paraId="0ECAF8D3" w14:textId="77777777" w:rsidR="00044408" w:rsidRDefault="00E5086B">
            <w:pPr>
              <w:pStyle w:val="Compact"/>
              <w:jc w:val="center"/>
            </w:pPr>
            <w:bookmarkStart w:id="6" w:name="fig-chart6-yk-gini"/>
            <w:r>
              <w:rPr>
                <w:noProof/>
              </w:rPr>
              <w:drawing>
                <wp:inline distT="0" distB="0" distL="0" distR="0" wp14:anchorId="7C4E26D5" wp14:editId="5D34A2F4">
                  <wp:extent cx="5334000" cy="3429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ip-innovation-hub-blog_files/figure-docx/fig-chart6-yk-gini-1.png"/>
                          <pic:cNvPicPr>
                            <a:picLocks noChangeAspect="1" noChangeArrowheads="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p>
          <w:p w14:paraId="1BB8796A" w14:textId="77777777" w:rsidR="00044408" w:rsidRDefault="00E5086B">
            <w:pPr>
              <w:pStyle w:val="ImageCaption"/>
              <w:spacing w:before="200"/>
            </w:pPr>
            <w:r>
              <w:t>Figure 6: Sensitivity of the Gini to the share of the HFCE gap allocated to the top</w:t>
            </w:r>
          </w:p>
        </w:tc>
        <w:bookmarkEnd w:id="6"/>
      </w:tr>
    </w:tbl>
    <w:p w14:paraId="73B59F7A" w14:textId="77777777" w:rsidR="00044408" w:rsidRDefault="00044408">
      <w:pPr>
        <w:pStyle w:val="BodyText"/>
      </w:pPr>
      <w:hyperlink w:anchor="fig-chart6-yk-gini">
        <w:r>
          <w:rPr>
            <w:rStyle w:val="Hyperlink"/>
            <w:i/>
            <w:iCs/>
          </w:rPr>
          <w:t>Figure 6</w:t>
        </w:r>
      </w:hyperlink>
      <w:r w:rsidR="00E5086B">
        <w:rPr>
          <w:i/>
          <w:iCs/>
        </w:rPr>
        <w:t xml:space="preserve"> presents the differences in the Gini depending on whether 25%, 50%, 75%, or 100% of the survey–national account gap is attributed to the missing top. The average increase in the Gini by attributing 25% of the survey-HFCE gap is 14%, whilst attributing the entire gap to the very rich increases the Gini by 40% on average. Estimates that vary the attributed share in 5 percentage point increments are available for download.</w:t>
      </w:r>
    </w:p>
    <w:p w14:paraId="19B3FF9D" w14:textId="1D62AB4E" w:rsidR="00044408" w:rsidRDefault="00E5086B">
      <w:pPr>
        <w:pStyle w:val="BodyText"/>
      </w:pPr>
      <w:r>
        <w:rPr>
          <w:i/>
          <w:iCs/>
        </w:rPr>
        <w:t>It is important to note that while comparisons between the PIP and alternative estimates within a given year and dataset are informative, comparisons across years or across methods should be made with caution. Each method uses a different data vintage, different survey years, and different underlying assumptions. The value of the Innovation Hub lies not in ranking methods but in making these choices</w:t>
      </w:r>
      <w:r w:rsidR="00B02464">
        <w:rPr>
          <w:i/>
          <w:iCs/>
        </w:rPr>
        <w:t>--</w:t>
      </w:r>
      <w:r>
        <w:rPr>
          <w:i/>
          <w:iCs/>
        </w:rPr>
        <w:t>and their consequences</w:t>
      </w:r>
      <w:r w:rsidR="00B02464">
        <w:rPr>
          <w:i/>
          <w:iCs/>
        </w:rPr>
        <w:t>--</w:t>
      </w:r>
      <w:r>
        <w:rPr>
          <w:i/>
          <w:iCs/>
        </w:rPr>
        <w:t>visible.</w:t>
      </w:r>
    </w:p>
    <w:p w14:paraId="2961D9EB" w14:textId="77777777" w:rsidR="00044408" w:rsidRDefault="00E5086B">
      <w:pPr>
        <w:pStyle w:val="Heading2"/>
      </w:pPr>
      <w:bookmarkStart w:id="7" w:name="the-research-repository"/>
      <w:bookmarkEnd w:id="0"/>
      <w:r>
        <w:t>The Research Repository</w:t>
      </w:r>
    </w:p>
    <w:p w14:paraId="29F1C279" w14:textId="141798B7" w:rsidR="00044408" w:rsidRDefault="00E5086B">
      <w:pPr>
        <w:pStyle w:val="FirstParagraph"/>
      </w:pPr>
      <w:r>
        <w:t xml:space="preserve">The Innovation Hub also features a </w:t>
      </w:r>
      <w:r>
        <w:rPr>
          <w:b/>
          <w:bCs/>
        </w:rPr>
        <w:t>Research Repository</w:t>
      </w:r>
      <w:r>
        <w:t xml:space="preserve"> that provides access to hundreds of World Bank Policy Research Working Papers on poverty, inequality, and related topics. The repository is powered by a semantic search algorithm</w:t>
      </w:r>
      <w:r w:rsidR="00B02464">
        <w:t>--</w:t>
      </w:r>
      <w:r>
        <w:t xml:space="preserve">users can </w:t>
      </w:r>
      <w:r>
        <w:lastRenderedPageBreak/>
        <w:t>describe what they are looking for in natural language, and the system retrieves the most relevant papers based on the meaning of the query, not just keyword matches.</w:t>
      </w:r>
    </w:p>
    <w:p w14:paraId="3ABE54FA" w14:textId="77777777" w:rsidR="00044408" w:rsidRDefault="00E5086B">
      <w:pPr>
        <w:pStyle w:val="BodyText"/>
      </w:pPr>
      <w:r>
        <w:t>This capability builds on recent advances in natural language processing. The search engine runs entirely in the user’s browser using a pre-trained sentence embedding model, requiring no server-side computation. The repository will be updated regularly as new papers are published, ensuring that researchers and policymakers have easy access to the latest methodological developments.</w:t>
      </w:r>
    </w:p>
    <w:p w14:paraId="32CEDD6D" w14:textId="54848EB0" w:rsidR="00044408" w:rsidRDefault="00E5086B">
      <w:pPr>
        <w:pStyle w:val="BodyText"/>
      </w:pPr>
      <w:r>
        <w:t>The Research Repository is part of the World Bank’s broader efforts to leverage cutting-edge AI and technology to improve knowledge dissemination and data discovery</w:t>
      </w:r>
      <w:r w:rsidR="00B02464">
        <w:t>--</w:t>
      </w:r>
      <w:r>
        <w:t>making it easier for the global development community to find, understand, and build on the institution’s research output.</w:t>
      </w:r>
    </w:p>
    <w:p w14:paraId="451179EF" w14:textId="77777777" w:rsidR="00044408" w:rsidRDefault="00E5086B">
      <w:pPr>
        <w:pStyle w:val="Heading2"/>
      </w:pPr>
      <w:bookmarkStart w:id="8" w:name="looking-ahead"/>
      <w:bookmarkEnd w:id="7"/>
      <w:r>
        <w:t>Looking ahead</w:t>
      </w:r>
    </w:p>
    <w:p w14:paraId="4A7FAFC6" w14:textId="7DA222F3" w:rsidR="00044408" w:rsidRDefault="00E5086B">
      <w:pPr>
        <w:pStyle w:val="FirstParagraph"/>
      </w:pPr>
      <w:r>
        <w:t>The PIP Innovation Hub starts with four methods, but it is designed to grow. As new peer-reviewed research proposes alternative approaches to measuring poverty and inequality, those methods can be incorporated into the Deep Dives framework</w:t>
      </w:r>
      <w:r w:rsidR="00B02464">
        <w:t>--</w:t>
      </w:r>
      <w:r>
        <w:t>enabling ongoing, transparent comparison with official estimates. All underlying data are available for download, supporting further analysis and replication.</w:t>
      </w:r>
    </w:p>
    <w:p w14:paraId="1F8712A0" w14:textId="77777777" w:rsidR="00044408" w:rsidRDefault="00E5086B">
      <w:pPr>
        <w:pStyle w:val="BodyText"/>
      </w:pPr>
      <w:r>
        <w:t>Measuring poverty well is not merely a technical exercise. The numbers we produce shape policy priorities, resource allocation, and our understanding of progress toward the first Sustainable Development Goal. By making the methodological frontier accessible and transparent, the PIP Innovation Hub aims to strengthen the evidence base that underpins these consequential decisions.</w:t>
      </w:r>
    </w:p>
    <w:p w14:paraId="1BE259D8" w14:textId="77777777" w:rsidR="00044408" w:rsidRDefault="00E5086B">
      <w:pPr>
        <w:pStyle w:val="BodyText"/>
      </w:pPr>
      <w:r>
        <w:rPr>
          <w:b/>
          <w:bCs/>
        </w:rPr>
        <w:t>Explore the PIP Innovation Hub: [link forthcoming]</w:t>
      </w:r>
    </w:p>
    <w:p w14:paraId="559D8584" w14:textId="77777777" w:rsidR="00044408" w:rsidRDefault="00E5086B">
      <w:pPr>
        <w:pStyle w:val="Heading2"/>
      </w:pPr>
      <w:bookmarkStart w:id="9" w:name="references"/>
      <w:bookmarkEnd w:id="8"/>
      <w:r>
        <w:t>References</w:t>
      </w:r>
      <w:bookmarkStart w:id="10" w:name="refs"/>
      <w:bookmarkEnd w:id="9"/>
      <w:bookmarkEnd w:id="10"/>
    </w:p>
    <w:sectPr w:rsidR="00044408">
      <w:footerReference w:type="even" r:id="rId21"/>
      <w:footerReference w:type="default" r:id="rId22"/>
      <w:footerReference w:type="firs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4F9F" w14:textId="77777777" w:rsidR="00436D5B" w:rsidRDefault="00436D5B" w:rsidP="00B02464">
      <w:pPr>
        <w:spacing w:after="0"/>
      </w:pPr>
      <w:r>
        <w:separator/>
      </w:r>
    </w:p>
  </w:endnote>
  <w:endnote w:type="continuationSeparator" w:id="0">
    <w:p w14:paraId="70BF89AF" w14:textId="77777777" w:rsidR="00436D5B" w:rsidRDefault="00436D5B" w:rsidP="00B024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4678" w14:textId="77777777" w:rsidR="00B02464" w:rsidRDefault="00B024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A7B4" w14:textId="77777777" w:rsidR="00B02464" w:rsidRDefault="00B024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D2E6" w14:textId="77777777" w:rsidR="00B02464" w:rsidRDefault="00B024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8D97" w14:textId="77777777" w:rsidR="00436D5B" w:rsidRDefault="00436D5B" w:rsidP="00B02464">
      <w:pPr>
        <w:spacing w:after="0"/>
      </w:pPr>
      <w:r>
        <w:separator/>
      </w:r>
    </w:p>
  </w:footnote>
  <w:footnote w:type="continuationSeparator" w:id="0">
    <w:p w14:paraId="31E82D2B" w14:textId="77777777" w:rsidR="00436D5B" w:rsidRDefault="00436D5B" w:rsidP="00B024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668C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049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4408"/>
    <w:rsid w:val="00044408"/>
    <w:rsid w:val="00436D5B"/>
    <w:rsid w:val="00A3403E"/>
    <w:rsid w:val="00B02464"/>
    <w:rsid w:val="00E50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031D"/>
  <w15:docId w15:val="{94DE71AF-866E-4E77-9217-67D67597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B02464"/>
    <w:pPr>
      <w:tabs>
        <w:tab w:val="center" w:pos="4680"/>
        <w:tab w:val="right" w:pos="9360"/>
      </w:tabs>
      <w:spacing w:after="0"/>
    </w:pPr>
  </w:style>
  <w:style w:type="character" w:customStyle="1" w:styleId="FooterChar">
    <w:name w:val="Footer Char"/>
    <w:basedOn w:val="DefaultParagraphFont"/>
    <w:link w:val="Footer"/>
    <w:rsid w:val="00B02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nalytics.worldbank.org/PIP-Methodology/non-technical-summary.html" TargetMode="External"/><Relationship Id="rId13" Type="http://schemas.openxmlformats.org/officeDocument/2006/relationships/hyperlink" Target="https://doi.org/10.1038/s41586-023-06679-0" TargetMode="External"/><Relationship Id="rId18" Type="http://schemas.openxmlformats.org/officeDocument/2006/relationships/hyperlink" Target="https://doi.org/10.1111/roiw.12577"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pip.worldbank.org/" TargetMode="External"/><Relationship Id="rId12" Type="http://schemas.openxmlformats.org/officeDocument/2006/relationships/image" Target="media/image3.png"/><Relationship Id="rId17" Type="http://schemas.openxmlformats.org/officeDocument/2006/relationships/hyperlink" Target="https://doi.org/10.1111/roiw.1257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to%20add%20link"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uments.worldbank.org/en/publication/documents-reports/documentdetail/099052124152527801" TargetMode="Externa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www.brookings.edu/articles/how-much-do-we-really-know-about-inequality-within-countries-around-the-world/"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1667</Words>
  <Characters>9521</Characters>
  <Application>Microsoft Office Word</Application>
  <DocSecurity>0</DocSecurity>
  <Lines>156</Lines>
  <Paragraphs>42</Paragraphs>
  <ScaleCrop>false</ScaleCrop>
  <Company>WBG</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Introducing the PIP Innovation Hub: A Home for Novel Work on Poverty and Inequality Measurement</dc:title>
  <dc:creator>[Author names]</dc:creator>
  <cp:keywords/>
  <cp:lastModifiedBy>Zander Prinsloo</cp:lastModifiedBy>
  <cp:revision>3</cp:revision>
  <dcterms:created xsi:type="dcterms:W3CDTF">2026-03-23T01:45:00Z</dcterms:created>
  <dcterms:modified xsi:type="dcterms:W3CDTF">2026-03-23T01:51:00Z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2026-03-22</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MSIP_Label_f1bf45b6-5649-4236-82a3-f45024cd282e_Enabled">
    <vt:lpwstr>true</vt:lpwstr>
  </property>
  <property fmtid="{D5CDD505-2E9C-101B-9397-08002B2CF9AE}" pid="16" name="MSIP_Label_f1bf45b6-5649-4236-82a3-f45024cd282e_SetDate">
    <vt:lpwstr>2026-03-23T01:47:57Z</vt:lpwstr>
  </property>
  <property fmtid="{D5CDD505-2E9C-101B-9397-08002B2CF9AE}" pid="17" name="MSIP_Label_f1bf45b6-5649-4236-82a3-f45024cd282e_Method">
    <vt:lpwstr>Standard</vt:lpwstr>
  </property>
  <property fmtid="{D5CDD505-2E9C-101B-9397-08002B2CF9AE}" pid="18" name="MSIP_Label_f1bf45b6-5649-4236-82a3-f45024cd282e_Name">
    <vt:lpwstr>Official Use Only</vt:lpwstr>
  </property>
  <property fmtid="{D5CDD505-2E9C-101B-9397-08002B2CF9AE}" pid="19" name="MSIP_Label_f1bf45b6-5649-4236-82a3-f45024cd282e_SiteId">
    <vt:lpwstr>31a2fec0-266b-4c67-b56e-2796d8f59c36</vt:lpwstr>
  </property>
  <property fmtid="{D5CDD505-2E9C-101B-9397-08002B2CF9AE}" pid="20" name="MSIP_Label_f1bf45b6-5649-4236-82a3-f45024cd282e_ActionId">
    <vt:lpwstr>21ea9662-25e1-46fc-bc24-a27f2434ae51</vt:lpwstr>
  </property>
  <property fmtid="{D5CDD505-2E9C-101B-9397-08002B2CF9AE}" pid="21" name="MSIP_Label_f1bf45b6-5649-4236-82a3-f45024cd282e_ContentBits">
    <vt:lpwstr>2</vt:lpwstr>
  </property>
  <property fmtid="{D5CDD505-2E9C-101B-9397-08002B2CF9AE}" pid="22" name="MSIP_Label_f1bf45b6-5649-4236-82a3-f45024cd282e_Tag">
    <vt:lpwstr>10, 3, 0, 1</vt:lpwstr>
  </property>
</Properties>
</file>