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台灣風濕免疫聯盟 類風濕性關節炎世代定義 v1（合成範例）</w:t>
      </w:r>
    </w:p>
    <w:p>
      <w:pPr>
        <w:pStyle w:val="Heading1"/>
      </w:pPr>
      <w:r>
        <w:t>聯盟世代</w:t>
      </w:r>
    </w:p>
    <w:p>
      <w:r>
        <w:t>本文件為 TrialBox 測試用之虛構聯盟世代定義，用於季度「主要條件 × 人數」統計，並非任何機構之正式文件。</w:t>
      </w:r>
    </w:p>
    <w:p>
      <w:pPr>
        <w:pStyle w:val="Heading2"/>
      </w:pPr>
      <w:r>
        <w:t>1 世代定義</w:t>
      </w:r>
    </w:p>
    <w:p>
      <w:r>
        <w:t>1. 曾經診斷類風濕性關節炎（ICD-10-CM M05 或 M06）之病人。</w:t>
      </w:r>
    </w:p>
    <w:p>
      <w:pPr>
        <w:pStyle w:val="Heading2"/>
      </w:pPr>
      <w:r>
        <w:t>2 計數條件</w:t>
      </w:r>
    </w:p>
    <w:p>
      <w:r>
        <w:t>1. 一年內曾使用 methotrexate。</w:t>
      </w:r>
    </w:p>
    <w:p>
      <w:r>
        <w:t>2. 九十日內最近一次 DAS28 大於 5.1（高疾病活動度）。</w:t>
      </w:r>
    </w:p>
    <w:p>
      <w:r>
        <w:t>3. 九十日內最近一次 DAS28 小於或等於 3.2（低疾病活動度）。</w:t>
      </w:r>
    </w:p>
    <w:p>
      <w:r>
        <w:t>4. 最近一次 B 型肝炎表面抗原（HBsAg）陽性。</w:t>
      </w:r>
    </w:p>
    <w:p>
      <w:r>
        <w:t>5. 一年內曾使用生物製劑。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TrialBox synthetic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