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台灣風濕免疫聯盟 痛風世代定義 v1（合成範例）</w:t>
      </w:r>
    </w:p>
    <w:p>
      <w:pPr>
        <w:pStyle w:val="Heading1"/>
      </w:pPr>
      <w:r>
        <w:t>聯盟世代</w:t>
      </w:r>
    </w:p>
    <w:p>
      <w:r>
        <w:t>本文件為 TrialBox 測試用之虛構聯盟世代定義，用於季度「主要條件 × 人數」統計，並非任何機構之正式文件。</w:t>
      </w:r>
    </w:p>
    <w:p>
      <w:pPr>
        <w:pStyle w:val="Heading2"/>
      </w:pPr>
      <w:r>
        <w:t>1 世代定義</w:t>
      </w:r>
    </w:p>
    <w:p>
      <w:r>
        <w:t>1. 曾經診斷痛風（ICD-10-CM M10 或 M1A）之病人。</w:t>
      </w:r>
    </w:p>
    <w:p>
      <w:pPr>
        <w:pStyle w:val="Heading2"/>
      </w:pPr>
      <w:r>
        <w:t>2 計數條件</w:t>
      </w:r>
    </w:p>
    <w:p>
      <w:r>
        <w:t>1. 一年內最近一次血清尿酸值大於或等於 6.0 mg/dL。</w:t>
      </w:r>
    </w:p>
    <w:p>
      <w:r>
        <w:t>2. 六個月內曾使用降尿酸藥物。</w:t>
      </w:r>
    </w:p>
    <w:p>
      <w:r>
        <w:t>3. 一年內因痛風就診二次以上。</w:t>
      </w:r>
    </w:p>
    <w:p>
      <w:r>
        <w:t>4. 一年內最近一次 eGFR 小於 60 mL/min/1.73m²（慢性腎臟病第三期以上）。</w:t>
      </w:r>
    </w:p>
    <w:p>
      <w:r>
        <w:t>5. 一年內最近一次身體質量指數大於或等於 27 kg/m²。</w:t>
      </w:r>
    </w:p>
    <w:p>
      <w:r>
        <w:t>6. 合併第二型糖尿病診斷。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TrialBox synthetic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