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8C2AF6" w:rsidP="00A25336">
            <w:pPr>
              <w:jc w:val="center"/>
            </w:pPr>
            <w:r w:rsidRPr="00A47D51">
              <w:t>Department 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2391B">
        <w:rPr>
          <w:b/>
        </w:rPr>
        <w:t>1</w:t>
      </w:r>
      <w:r w:rsidRPr="00210C8C">
        <w:rPr>
          <w:b/>
        </w:rPr>
        <w:t xml:space="preserve">, </w:t>
      </w:r>
      <w:r w:rsidR="000B73E9">
        <w:rPr>
          <w:b/>
        </w:rPr>
        <w:t>2015 Spring</w:t>
      </w:r>
    </w:p>
    <w:p w:rsidR="00747690" w:rsidRDefault="0042391B" w:rsidP="00210C8C">
      <w:pPr>
        <w:jc w:val="center"/>
        <w:rPr>
          <w:b/>
        </w:rPr>
      </w:pPr>
      <w:r>
        <w:rPr>
          <w:b/>
        </w:rPr>
        <w:t>Final</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42391B">
        <w:rPr>
          <w:color w:val="000000" w:themeColor="text1"/>
          <w:highlight w:val="white"/>
        </w:rPr>
        <w:t>FINAL_DEMO</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F212C8" w:rsidRDefault="0042391B" w:rsidP="00F212C8">
      <w:pPr>
        <w:autoSpaceDE w:val="0"/>
        <w:autoSpaceDN w:val="0"/>
        <w:adjustRightInd w:val="0"/>
        <w:rPr>
          <w:color w:val="000000" w:themeColor="text1"/>
          <w:highlight w:val="white"/>
        </w:rPr>
      </w:pPr>
      <w:r>
        <w:rPr>
          <w:noProof/>
        </w:rPr>
        <w:drawing>
          <wp:inline distT="0" distB="0" distL="0" distR="0" wp14:anchorId="50746A0B" wp14:editId="5BA609D6">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2400"/>
                    </a:xfrm>
                    <a:prstGeom prst="rect">
                      <a:avLst/>
                    </a:prstGeom>
                  </pic:spPr>
                </pic:pic>
              </a:graphicData>
            </a:graphic>
          </wp:inline>
        </w:drawing>
      </w:r>
    </w:p>
    <w:p w:rsidR="0042391B" w:rsidRDefault="0042391B" w:rsidP="00615A6D">
      <w:pPr>
        <w:autoSpaceDE w:val="0"/>
        <w:autoSpaceDN w:val="0"/>
        <w:adjustRightInd w:val="0"/>
        <w:ind w:left="720" w:firstLine="0"/>
        <w:rPr>
          <w:color w:val="000000" w:themeColor="text1"/>
          <w:highlight w:val="white"/>
        </w:rPr>
      </w:pPr>
      <w:r>
        <w:rPr>
          <w:color w:val="000000" w:themeColor="text1"/>
          <w:highlight w:val="white"/>
        </w:rPr>
        <w:t>Whenever you press “p” the “warp-pipe” will shoot a model downwards.</w:t>
      </w:r>
    </w:p>
    <w:p w:rsidR="0042391B" w:rsidRDefault="0042391B" w:rsidP="00615A6D">
      <w:pPr>
        <w:autoSpaceDE w:val="0"/>
        <w:autoSpaceDN w:val="0"/>
        <w:adjustRightInd w:val="0"/>
        <w:ind w:left="720" w:firstLine="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 xml:space="preserve">Your goal is to </w:t>
      </w:r>
      <w:r w:rsidR="0042391B">
        <w:rPr>
          <w:color w:val="000000" w:themeColor="text1"/>
          <w:highlight w:val="white"/>
        </w:rPr>
        <w:t xml:space="preserve">show the Oriented Bounding Box and the Axis </w:t>
      </w:r>
      <w:proofErr w:type="spellStart"/>
      <w:r w:rsidR="0042391B">
        <w:rPr>
          <w:color w:val="000000" w:themeColor="text1"/>
          <w:highlight w:val="white"/>
        </w:rPr>
        <w:t>ReAligned</w:t>
      </w:r>
      <w:proofErr w:type="spellEnd"/>
      <w:r w:rsidR="0042391B">
        <w:rPr>
          <w:color w:val="000000" w:themeColor="text1"/>
          <w:highlight w:val="white"/>
        </w:rPr>
        <w:t xml:space="preserve"> Bounding box for all models.</w:t>
      </w:r>
      <w:r w:rsidR="000B73E9" w:rsidRPr="00986EF7">
        <w:rPr>
          <w:b/>
          <w:color w:val="FF0000"/>
          <w:highlight w:val="white"/>
        </w:rPr>
        <w:t xml:space="preserve"> (Example demo under Binary)</w:t>
      </w:r>
    </w:p>
    <w:p w:rsidR="00615A6D" w:rsidRDefault="00615A6D" w:rsidP="00F212C8">
      <w:pPr>
        <w:autoSpaceDE w:val="0"/>
        <w:autoSpaceDN w:val="0"/>
        <w:adjustRightInd w:val="0"/>
        <w:rPr>
          <w:color w:val="000000" w:themeColor="text1"/>
          <w:highlight w:val="white"/>
        </w:rPr>
      </w:pPr>
    </w:p>
    <w:p w:rsidR="0042391B" w:rsidRDefault="0042391B" w:rsidP="00F91DD8">
      <w:pPr>
        <w:autoSpaceDE w:val="0"/>
        <w:autoSpaceDN w:val="0"/>
        <w:adjustRightInd w:val="0"/>
        <w:ind w:left="720" w:firstLine="0"/>
        <w:rPr>
          <w:color w:val="000000" w:themeColor="text1"/>
          <w:highlight w:val="white"/>
        </w:rPr>
      </w:pPr>
      <w:r>
        <w:rPr>
          <w:color w:val="000000" w:themeColor="text1"/>
          <w:highlight w:val="white"/>
        </w:rPr>
        <w:t xml:space="preserve">Everything in the main program is already in place so there is no need to modify ANYTHING other than two methods under MyBOClass.cpp. Said methods are the constructor and the </w:t>
      </w:r>
      <w:proofErr w:type="spellStart"/>
      <w:r>
        <w:rPr>
          <w:color w:val="000000" w:themeColor="text1"/>
          <w:highlight w:val="white"/>
        </w:rPr>
        <w:t>SetModelMatrix</w:t>
      </w:r>
      <w:proofErr w:type="spellEnd"/>
      <w:r>
        <w:rPr>
          <w:color w:val="000000" w:themeColor="text1"/>
          <w:highlight w:val="white"/>
        </w:rPr>
        <w:t>.</w:t>
      </w:r>
    </w:p>
    <w:p w:rsidR="000B73E9" w:rsidRPr="007C20D7" w:rsidRDefault="000B73E9" w:rsidP="0042391B">
      <w:pPr>
        <w:autoSpaceDE w:val="0"/>
        <w:autoSpaceDN w:val="0"/>
        <w:adjustRightInd w:val="0"/>
        <w:ind w:left="720" w:firstLine="0"/>
        <w:rPr>
          <w:b/>
          <w:color w:val="000000" w:themeColor="text1"/>
          <w:highlight w:val="white"/>
        </w:rPr>
      </w:pPr>
      <w:r>
        <w:rPr>
          <w:color w:val="000000" w:themeColor="text1"/>
          <w:highlight w:val="white"/>
        </w:rPr>
        <w:lastRenderedPageBreak/>
        <w:t xml:space="preserve">You are provided starting code and you will only need to focus on the </w:t>
      </w:r>
      <w:r w:rsidR="0042391B">
        <w:rPr>
          <w:color w:val="000000" w:themeColor="text1"/>
          <w:highlight w:val="white"/>
        </w:rPr>
        <w:t>MyBOClass</w:t>
      </w:r>
      <w:r>
        <w:rPr>
          <w:color w:val="000000" w:themeColor="text1"/>
          <w:highlight w:val="white"/>
        </w:rPr>
        <w:t>.cpp, no other files need any changes, assume that nothing in the provided code need any changes (</w:t>
      </w:r>
      <w:r w:rsidR="0042391B">
        <w:rPr>
          <w:color w:val="000000" w:themeColor="text1"/>
          <w:highlight w:val="white"/>
        </w:rPr>
        <w:t>unless you are aiming for extra credit</w:t>
      </w:r>
      <w:r>
        <w:rPr>
          <w:color w:val="000000" w:themeColor="text1"/>
          <w:highlight w:val="white"/>
        </w:rPr>
        <w:t>).</w:t>
      </w:r>
    </w:p>
    <w:p w:rsidR="00615A6D" w:rsidRPr="00B63111" w:rsidRDefault="00615A6D" w:rsidP="00F91DD8">
      <w:pPr>
        <w:autoSpaceDE w:val="0"/>
        <w:autoSpaceDN w:val="0"/>
        <w:adjustRightInd w:val="0"/>
        <w:ind w:left="720" w:firstLine="0"/>
        <w:rPr>
          <w:color w:val="000000" w:themeColor="text1"/>
          <w:highlight w:val="white"/>
        </w:rPr>
      </w:pPr>
    </w:p>
    <w:p w:rsidR="00986EF7" w:rsidRPr="00B63111" w:rsidRDefault="00F212C8" w:rsidP="00986EF7">
      <w:pPr>
        <w:autoSpaceDE w:val="0"/>
        <w:autoSpaceDN w:val="0"/>
        <w:adjustRightInd w:val="0"/>
        <w:rPr>
          <w:color w:val="000000" w:themeColor="text1"/>
          <w:highlight w:val="white"/>
        </w:rPr>
      </w:pPr>
      <w:r w:rsidRPr="00B63111">
        <w:rPr>
          <w:color w:val="000000" w:themeColor="text1"/>
          <w:highlight w:val="white"/>
        </w:rPr>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42391B">
        <w:rPr>
          <w:color w:val="000000" w:themeColor="text1"/>
          <w:highlight w:val="white"/>
        </w:rPr>
        <w:t>MyBOClass</w:t>
      </w:r>
      <w:r>
        <w:rPr>
          <w:color w:val="000000" w:themeColor="text1"/>
          <w:highlight w:val="white"/>
        </w:rPr>
        <w:t>.cpp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Zip your solution and upload it to the dropbox in my courses.</w:t>
      </w:r>
      <w:r w:rsidR="00951ED6">
        <w:rPr>
          <w:color w:val="000000" w:themeColor="text1"/>
          <w:highlight w:val="white"/>
        </w:rPr>
        <w:t xml:space="preserve"> </w:t>
      </w:r>
    </w:p>
    <w:p w:rsidR="00986EF7" w:rsidRPr="00986EF7" w:rsidRDefault="00986EF7" w:rsidP="00986EF7">
      <w:pPr>
        <w:pStyle w:val="ListParagraph"/>
        <w:rPr>
          <w:color w:val="000000" w:themeColor="text1"/>
          <w:highlight w:val="white"/>
        </w:rPr>
      </w:pPr>
    </w:p>
    <w:p w:rsidR="00986EF7" w:rsidRDefault="00986EF7"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There are provided variables to hold your values, threat them as hints so feel free to use them or create your own. </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42391B" w:rsidP="00F212C8">
      <w:pPr>
        <w:autoSpaceDE w:val="0"/>
        <w:autoSpaceDN w:val="0"/>
        <w:adjustRightInd w:val="0"/>
        <w:ind w:left="720"/>
        <w:rPr>
          <w:color w:val="000000" w:themeColor="text1"/>
          <w:highlight w:val="white"/>
        </w:rPr>
      </w:pPr>
      <w:r>
        <w:rPr>
          <w:color w:val="000000" w:themeColor="text1"/>
          <w:highlight w:val="white"/>
        </w:rPr>
        <w:t>(-50) You are not displaying the Oriented Bounding Box</w:t>
      </w:r>
    </w:p>
    <w:p w:rsidR="0042391B" w:rsidRDefault="0042391B" w:rsidP="00F212C8">
      <w:pPr>
        <w:autoSpaceDE w:val="0"/>
        <w:autoSpaceDN w:val="0"/>
        <w:adjustRightInd w:val="0"/>
        <w:ind w:left="720"/>
        <w:rPr>
          <w:color w:val="000000" w:themeColor="text1"/>
          <w:highlight w:val="white"/>
        </w:rPr>
      </w:pPr>
    </w:p>
    <w:p w:rsidR="007C20D7" w:rsidRDefault="007C20D7" w:rsidP="007C20D7">
      <w:pPr>
        <w:autoSpaceDE w:val="0"/>
        <w:autoSpaceDN w:val="0"/>
        <w:adjustRightInd w:val="0"/>
        <w:ind w:left="1440" w:firstLine="0"/>
        <w:rPr>
          <w:color w:val="000000" w:themeColor="text1"/>
          <w:highlight w:val="white"/>
        </w:rPr>
      </w:pPr>
      <w:r>
        <w:rPr>
          <w:color w:val="000000" w:themeColor="text1"/>
          <w:highlight w:val="white"/>
        </w:rPr>
        <w:t>(-</w:t>
      </w:r>
      <w:r w:rsidR="0042391B">
        <w:rPr>
          <w:color w:val="000000" w:themeColor="text1"/>
          <w:highlight w:val="white"/>
        </w:rPr>
        <w:t>5</w:t>
      </w:r>
      <w:r>
        <w:rPr>
          <w:color w:val="000000" w:themeColor="text1"/>
          <w:highlight w:val="white"/>
        </w:rPr>
        <w:t xml:space="preserve">0) You </w:t>
      </w:r>
      <w:r w:rsidR="0042391B">
        <w:rPr>
          <w:color w:val="000000" w:themeColor="text1"/>
          <w:highlight w:val="white"/>
        </w:rPr>
        <w:t xml:space="preserve">are not displaying the Axis </w:t>
      </w:r>
      <w:proofErr w:type="spellStart"/>
      <w:r w:rsidR="0042391B">
        <w:rPr>
          <w:color w:val="000000" w:themeColor="text1"/>
          <w:highlight w:val="white"/>
        </w:rPr>
        <w:t>ReAligned</w:t>
      </w:r>
      <w:proofErr w:type="spellEnd"/>
      <w:r w:rsidR="0042391B">
        <w:rPr>
          <w:color w:val="000000" w:themeColor="text1"/>
          <w:highlight w:val="white"/>
        </w:rPr>
        <w:t xml:space="preserve"> Bounding Box</w:t>
      </w:r>
    </w:p>
    <w:p w:rsidR="00986EF7" w:rsidRDefault="00986EF7" w:rsidP="007C20D7">
      <w:pPr>
        <w:autoSpaceDE w:val="0"/>
        <w:autoSpaceDN w:val="0"/>
        <w:adjustRightInd w:val="0"/>
        <w:ind w:left="1440" w:firstLine="0"/>
        <w:rPr>
          <w:color w:val="000000" w:themeColor="text1"/>
          <w:highlight w:val="white"/>
        </w:rPr>
      </w:pPr>
    </w:p>
    <w:p w:rsidR="0042391B" w:rsidRDefault="0042391B" w:rsidP="00F212C8">
      <w:pPr>
        <w:autoSpaceDE w:val="0"/>
        <w:autoSpaceDN w:val="0"/>
        <w:adjustRightInd w:val="0"/>
        <w:rPr>
          <w:color w:val="000000" w:themeColor="text1"/>
          <w:highlight w:val="white"/>
        </w:rPr>
      </w:pPr>
    </w:p>
    <w:p w:rsidR="0042391B" w:rsidRDefault="0042391B" w:rsidP="00F212C8">
      <w:pPr>
        <w:autoSpaceDE w:val="0"/>
        <w:autoSpaceDN w:val="0"/>
        <w:adjustRightInd w:val="0"/>
        <w:rPr>
          <w:color w:val="000000" w:themeColor="text1"/>
          <w:highlight w:val="white"/>
        </w:rPr>
      </w:pPr>
    </w:p>
    <w:p w:rsidR="0042391B" w:rsidRDefault="00F212C8" w:rsidP="0042391B">
      <w:pPr>
        <w:autoSpaceDE w:val="0"/>
        <w:autoSpaceDN w:val="0"/>
        <w:adjustRightInd w:val="0"/>
        <w:rPr>
          <w:color w:val="000000" w:themeColor="text1"/>
          <w:highlight w:val="white"/>
        </w:rPr>
      </w:pPr>
      <w:r w:rsidRPr="00B63111">
        <w:rPr>
          <w:color w:val="000000" w:themeColor="text1"/>
          <w:highlight w:val="white"/>
        </w:rPr>
        <w:lastRenderedPageBreak/>
        <w:t>Extra points:</w:t>
      </w:r>
    </w:p>
    <w:p w:rsidR="0042391B" w:rsidRDefault="0042391B" w:rsidP="0042391B">
      <w:pPr>
        <w:autoSpaceDE w:val="0"/>
        <w:autoSpaceDN w:val="0"/>
        <w:adjustRightInd w:val="0"/>
        <w:ind w:left="720" w:firstLine="0"/>
        <w:rPr>
          <w:color w:val="000000" w:themeColor="text1"/>
          <w:highlight w:val="white"/>
        </w:rPr>
      </w:pPr>
      <w:r>
        <w:rPr>
          <w:color w:val="000000" w:themeColor="text1"/>
          <w:highlight w:val="white"/>
        </w:rPr>
        <w:t>For the extra points you are allowed to modify anything in the program but you need two submissions one for the regular part and one that is clearly labeled extras:</w:t>
      </w:r>
    </w:p>
    <w:p w:rsidR="0042391B" w:rsidRDefault="0042391B" w:rsidP="0042391B">
      <w:pPr>
        <w:autoSpaceDE w:val="0"/>
        <w:autoSpaceDN w:val="0"/>
        <w:adjustRightInd w:val="0"/>
        <w:rPr>
          <w:color w:val="000000" w:themeColor="text1"/>
          <w:highlight w:val="white"/>
        </w:rPr>
      </w:pPr>
    </w:p>
    <w:p w:rsidR="0042391B" w:rsidRDefault="0042391B" w:rsidP="0042391B">
      <w:pPr>
        <w:autoSpaceDE w:val="0"/>
        <w:autoSpaceDN w:val="0"/>
        <w:adjustRightInd w:val="0"/>
        <w:rPr>
          <w:color w:val="000000" w:themeColor="text1"/>
          <w:highlight w:val="white"/>
        </w:rPr>
      </w:pPr>
      <w:r>
        <w:rPr>
          <w:color w:val="000000" w:themeColor="text1"/>
          <w:highlight w:val="white"/>
        </w:rPr>
        <w:t>(50%) Implement the SAT test</w:t>
      </w:r>
    </w:p>
    <w:p w:rsidR="0042391B" w:rsidRDefault="0042391B" w:rsidP="0042391B">
      <w:pPr>
        <w:autoSpaceDE w:val="0"/>
        <w:autoSpaceDN w:val="0"/>
        <w:adjustRightInd w:val="0"/>
        <w:rPr>
          <w:color w:val="000000" w:themeColor="text1"/>
          <w:highlight w:val="white"/>
        </w:rPr>
      </w:pPr>
    </w:p>
    <w:p w:rsidR="0042391B" w:rsidRDefault="0042391B" w:rsidP="0042391B">
      <w:pPr>
        <w:autoSpaceDE w:val="0"/>
        <w:autoSpaceDN w:val="0"/>
        <w:adjustRightInd w:val="0"/>
        <w:ind w:left="720" w:firstLine="0"/>
        <w:rPr>
          <w:color w:val="000000" w:themeColor="text1"/>
          <w:highlight w:val="white"/>
        </w:rPr>
      </w:pPr>
      <w:r>
        <w:rPr>
          <w:color w:val="000000" w:themeColor="text1"/>
          <w:highlight w:val="white"/>
        </w:rPr>
        <w:t xml:space="preserve">(20%) Implement collision response (needs to be a physical response other than changing </w:t>
      </w:r>
      <w:r w:rsidR="00D469C4">
        <w:rPr>
          <w:color w:val="000000" w:themeColor="text1"/>
          <w:highlight w:val="white"/>
        </w:rPr>
        <w:t>colors (this could be as simple as stop once the object is colliding with the ground or with other objects)</w:t>
      </w:r>
      <w:bookmarkStart w:id="0" w:name="_GoBack"/>
      <w:bookmarkEnd w:id="0"/>
    </w:p>
    <w:p w:rsidR="0042391B" w:rsidRDefault="0042391B" w:rsidP="0042391B">
      <w:pPr>
        <w:autoSpaceDE w:val="0"/>
        <w:autoSpaceDN w:val="0"/>
        <w:adjustRightInd w:val="0"/>
        <w:ind w:left="720" w:firstLine="0"/>
        <w:rPr>
          <w:color w:val="000000" w:themeColor="text1"/>
          <w:highlight w:val="white"/>
        </w:rPr>
      </w:pPr>
    </w:p>
    <w:p w:rsidR="00F212C8" w:rsidRPr="00B63111" w:rsidRDefault="0042391B" w:rsidP="0042391B">
      <w:pPr>
        <w:autoSpaceDE w:val="0"/>
        <w:autoSpaceDN w:val="0"/>
        <w:adjustRightInd w:val="0"/>
        <w:ind w:left="720" w:firstLine="0"/>
        <w:rPr>
          <w:color w:val="000000" w:themeColor="text1"/>
          <w:highlight w:val="white"/>
        </w:rPr>
      </w:pPr>
      <w:r>
        <w:rPr>
          <w:color w:val="000000" w:themeColor="text1"/>
          <w:highlight w:val="white"/>
        </w:rPr>
        <w:t>S</w:t>
      </w:r>
      <w:r w:rsidR="00F212C8" w:rsidRPr="00B63111">
        <w:rPr>
          <w:color w:val="000000" w:themeColor="text1"/>
          <w:highlight w:val="white"/>
        </w:rPr>
        <w:t xml:space="preserve">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p>
    <w:p w:rsidR="003A291A" w:rsidRDefault="003A291A" w:rsidP="004D52FC">
      <w:pPr>
        <w:ind w:firstLine="0"/>
      </w:pPr>
    </w:p>
    <w:sectPr w:rsidR="003A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942B2"/>
    <w:rsid w:val="001A22EF"/>
    <w:rsid w:val="001C1DD1"/>
    <w:rsid w:val="00210C8C"/>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2391B"/>
    <w:rsid w:val="00465D7F"/>
    <w:rsid w:val="004763AD"/>
    <w:rsid w:val="00491108"/>
    <w:rsid w:val="004D52FC"/>
    <w:rsid w:val="004E2FA0"/>
    <w:rsid w:val="00522FCE"/>
    <w:rsid w:val="00576857"/>
    <w:rsid w:val="00595E11"/>
    <w:rsid w:val="005D4EC3"/>
    <w:rsid w:val="005E4AC1"/>
    <w:rsid w:val="006142DD"/>
    <w:rsid w:val="00615A6D"/>
    <w:rsid w:val="00691BC4"/>
    <w:rsid w:val="006E3C2B"/>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86EF7"/>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469C4"/>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E3EFA-1733-4167-A8B8-A31A7067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489</Words>
  <Characters>2789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3</cp:revision>
  <cp:lastPrinted>2014-01-25T03:03:00Z</cp:lastPrinted>
  <dcterms:created xsi:type="dcterms:W3CDTF">2015-12-13T15:02:00Z</dcterms:created>
  <dcterms:modified xsi:type="dcterms:W3CDTF">2015-12-13T15:12:00Z</dcterms:modified>
</cp:coreProperties>
</file>