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D553D" w:rsidR="00177915" w:rsidP="007D553D" w:rsidRDefault="00BA25B9" w14:paraId="51E3719D" w14:textId="5C04B212">
      <w:pPr>
        <w:pStyle w:val="Heading1"/>
      </w:pPr>
      <w:r w:rsidR="00BA25B9">
        <w:rPr/>
        <w:t>CS 405 Project Two Script</w:t>
      </w:r>
    </w:p>
    <w:p w:rsidR="3C24ED71" w:rsidP="39087C0A" w:rsidRDefault="3C24ED71" w14:paraId="39A9BB04" w14:textId="7791ECE7">
      <w:pPr>
        <w:pStyle w:val="Normal"/>
      </w:pPr>
      <w:r w:rsidR="3C24ED71">
        <w:rPr/>
        <w:t>Zane M Deso</w:t>
      </w:r>
    </w:p>
    <w:p w:rsidR="3C24ED71" w:rsidP="39087C0A" w:rsidRDefault="3C24ED71" w14:paraId="0341CE28" w14:textId="3D6D9C84">
      <w:pPr>
        <w:pStyle w:val="Normal"/>
      </w:pPr>
      <w:r w:rsidR="3C24ED71">
        <w:rPr/>
        <w:t>6/28/2025</w:t>
      </w:r>
    </w:p>
    <w:p w:rsidR="3C24ED71" w:rsidP="39087C0A" w:rsidRDefault="3C24ED71" w14:paraId="2F3E6146" w14:textId="5D93AFBA">
      <w:pPr>
        <w:pStyle w:val="Normal"/>
      </w:pPr>
      <w:r w:rsidR="3C24ED71">
        <w:rPr/>
        <w:t xml:space="preserve">Link: </w:t>
      </w:r>
      <w:hyperlink r:id="R5ba1e409e0af4608">
        <w:r w:rsidRPr="39087C0A" w:rsidR="3C24ED71">
          <w:rPr>
            <w:rStyle w:val="Hyperlink"/>
          </w:rPr>
          <w:t>YouTube - Green Pace Security Policy Presentation</w:t>
        </w:r>
      </w:hyperlink>
    </w:p>
    <w:p w:rsidRPr="007D553D" w:rsidR="007D553D" w:rsidP="39087C0A" w:rsidRDefault="007D553D" w14:paraId="5B0DF8A6" w14:noSpellErr="1" w14:textId="49416D22">
      <w:pPr>
        <w:pStyle w:val="Normal"/>
        <w:suppressAutoHyphens/>
        <w:spacing w:after="0" w:line="240" w:lineRule="auto"/>
        <w:jc w:val="center"/>
        <w:rPr>
          <w:b w:val="1"/>
          <w:bCs w:val="1"/>
        </w:rPr>
      </w:pPr>
    </w:p>
    <w:tbl>
      <w:tblPr>
        <w:tblStyle w:val="a"/>
        <w:tblW w:w="95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455"/>
      </w:tblGrid>
      <w:tr w:rsidRPr="007D553D" w:rsidR="00177915" w:rsidTr="39087C0A" w14:paraId="35AE1259" w14:textId="77777777">
        <w:trPr>
          <w:trHeight w:val="1373"/>
          <w:tblHeader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4208F210" w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tcMar/>
            <w:vAlign w:val="center"/>
          </w:tcPr>
          <w:p w:rsidRPr="007D553D" w:rsidR="00177915" w:rsidP="007D553D" w:rsidRDefault="00BA25B9" w14:paraId="6C3B3005" w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Pr="007D553D" w:rsidR="00177915" w:rsidTr="39087C0A" w14:paraId="1C716D72" w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7202B4C6" w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  <w:tcMar/>
          </w:tcPr>
          <w:p w:rsidRPr="007D553D" w:rsidR="00177915" w:rsidP="007D553D" w:rsidRDefault="007D553D" w14:paraId="6CDE04F7" w14:textId="01583BF0">
            <w:pPr>
              <w:suppressAutoHyphens/>
            </w:pPr>
            <w:r w:rsidR="1E800F09">
              <w:rPr/>
              <w:t>Welcome</w:t>
            </w:r>
            <w:r w:rsidR="1E800F09">
              <w:rPr/>
              <w:t xml:space="preserve"> to the Green Pace security policy overview. </w:t>
            </w:r>
            <w:r w:rsidR="1E800F09">
              <w:rPr/>
              <w:t>I'm</w:t>
            </w:r>
            <w:r w:rsidR="1E800F09">
              <w:rPr/>
              <w:t xml:space="preserve"> Zane Deso, and this presentation covers our key standards, practices, and recommendations.</w:t>
            </w:r>
          </w:p>
        </w:tc>
      </w:tr>
      <w:tr w:rsidRPr="007D553D" w:rsidR="00177915" w:rsidTr="39087C0A" w14:paraId="389ED8C6" w14:textId="77777777">
        <w:trPr>
          <w:trHeight w:val="1373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46806FAD" w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  <w:tcMar/>
          </w:tcPr>
          <w:p w:rsidRPr="007D553D" w:rsidR="00177915" w:rsidP="007D553D" w:rsidRDefault="007D553D" w14:paraId="484921B4" w14:textId="443C9AC9">
            <w:pPr>
              <w:suppressAutoHyphens/>
            </w:pPr>
            <w:r w:rsidR="226F2E77">
              <w:rPr/>
              <w:t>Our policy ensures everyone develops with security in mind from the start. This proactive, layered security approach prevents vulnerabilities early.</w:t>
            </w:r>
          </w:p>
        </w:tc>
      </w:tr>
      <w:tr w:rsidRPr="007D553D" w:rsidR="00177915" w:rsidTr="39087C0A" w14:paraId="60921BDE" w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40EEEA5D" w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  <w:tcMar/>
          </w:tcPr>
          <w:p w:rsidRPr="007D553D" w:rsidR="00177915" w:rsidP="007D553D" w:rsidRDefault="007D553D" w14:paraId="28A1C1BC" w14:textId="61671934">
            <w:pPr>
              <w:suppressAutoHyphens/>
            </w:pPr>
            <w:r w:rsidRPr="39087C0A" w:rsidR="5BBA0A0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This matrix ranks each coding vulnerability we identified. It guides us in prioritizing remediation and allocating resources effectively.</w:t>
            </w:r>
          </w:p>
        </w:tc>
      </w:tr>
      <w:tr w:rsidRPr="007D553D" w:rsidR="00177915" w:rsidTr="39087C0A" w14:paraId="3E69DF9E" w14:textId="77777777">
        <w:trPr>
          <w:trHeight w:val="1373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6043F3EE" w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  <w:tcMar/>
          </w:tcPr>
          <w:p w:rsidRPr="007D553D" w:rsidR="00177915" w:rsidP="007D553D" w:rsidRDefault="007D553D" w14:paraId="29F1DAF6" w14:textId="69973525">
            <w:pPr>
              <w:suppressAutoHyphens/>
            </w:pPr>
            <w:r w:rsidRPr="39087C0A" w:rsidR="77FC80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These ten principles anchor our security approach, aligning directly with specific coding standards for clarity and actionable guidance.</w:t>
            </w:r>
          </w:p>
        </w:tc>
      </w:tr>
      <w:tr w:rsidRPr="007D553D" w:rsidR="00177915" w:rsidTr="39087C0A" w14:paraId="58F717C1" w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7EB4787A" w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5</w:t>
            </w:r>
          </w:p>
        </w:tc>
        <w:tc>
          <w:tcPr>
            <w:tcW w:w="7455" w:type="dxa"/>
            <w:tcMar/>
          </w:tcPr>
          <w:p w:rsidRPr="007D553D" w:rsidR="00177915" w:rsidP="007D553D" w:rsidRDefault="007D553D" w14:paraId="6C7ED67B" w14:textId="54066DAB">
            <w:pPr>
              <w:suppressAutoHyphens/>
            </w:pPr>
            <w:r w:rsidR="0204FA4F">
              <w:rPr/>
              <w:t>Our coding standards are ranked strategically, addressing the most severe and likely threats first to effectively reduce risks</w:t>
            </w:r>
          </w:p>
        </w:tc>
      </w:tr>
      <w:tr w:rsidRPr="007D553D" w:rsidR="00177915" w:rsidTr="39087C0A" w14:paraId="1D6184BF" w14:textId="77777777">
        <w:trPr>
          <w:trHeight w:val="1373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1A5736AF" w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6</w:t>
            </w:r>
          </w:p>
        </w:tc>
        <w:tc>
          <w:tcPr>
            <w:tcW w:w="7455" w:type="dxa"/>
            <w:tcMar/>
          </w:tcPr>
          <w:p w:rsidRPr="007D553D" w:rsidR="00177915" w:rsidP="007D553D" w:rsidRDefault="007D553D" w14:paraId="1ED99CCF" w14:textId="15361B91">
            <w:pPr>
              <w:suppressAutoHyphens/>
            </w:pPr>
            <w:r w:rsidR="633C8A3A">
              <w:rPr/>
              <w:t>Encryption at all levels—rest, transit, and in use—ensures data remains protected even during breaches or attempted interceptions.</w:t>
            </w:r>
          </w:p>
        </w:tc>
      </w:tr>
      <w:tr w:rsidRPr="007D553D" w:rsidR="00177915" w:rsidTr="39087C0A" w14:paraId="19E871C4" w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412E5B2B" w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7</w:t>
            </w:r>
          </w:p>
        </w:tc>
        <w:tc>
          <w:tcPr>
            <w:tcW w:w="7455" w:type="dxa"/>
            <w:tcMar/>
          </w:tcPr>
          <w:p w:rsidRPr="007D553D" w:rsidR="00177915" w:rsidP="007D553D" w:rsidRDefault="007D553D" w14:paraId="2A6C5AE9" w14:textId="709AB41E">
            <w:pPr>
              <w:suppressAutoHyphens/>
            </w:pPr>
            <w:r w:rsidR="2FEF0AF7">
              <w:rPr/>
              <w:t>Our Triple-A framework guarantees that only authorized users access resources and actions remain traceable and accountable.</w:t>
            </w:r>
          </w:p>
        </w:tc>
      </w:tr>
      <w:tr w:rsidRPr="007D553D" w:rsidR="00177915" w:rsidTr="39087C0A" w14:paraId="1CB4AF40" w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05612CDF" w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8</w:t>
            </w:r>
          </w:p>
        </w:tc>
        <w:tc>
          <w:tcPr>
            <w:tcW w:w="7455" w:type="dxa"/>
            <w:tcMar/>
          </w:tcPr>
          <w:p w:rsidRPr="007D553D" w:rsidR="00177915" w:rsidP="007D553D" w:rsidRDefault="007D553D" w14:paraId="7C03111E" w14:textId="23A2421F">
            <w:pPr>
              <w:suppressAutoHyphens/>
            </w:pPr>
            <w:r w:rsidRPr="39087C0A" w:rsidR="7327DC0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Unit testing frameworks integrated into Visual Studio validate code security continuously. These tests automatically highlight vulnerabilities before they reach production.</w:t>
            </w:r>
          </w:p>
        </w:tc>
      </w:tr>
      <w:tr w:rsidRPr="007D553D" w:rsidR="00177915" w:rsidTr="39087C0A" w14:paraId="16627A85" w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5AB3EDC2" w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9</w:t>
            </w:r>
          </w:p>
        </w:tc>
        <w:tc>
          <w:tcPr>
            <w:tcW w:w="7455" w:type="dxa"/>
            <w:tcMar/>
          </w:tcPr>
          <w:p w:rsidRPr="007D553D" w:rsidR="00177915" w:rsidP="39087C0A" w:rsidRDefault="007D553D" w14:paraId="43B51E91" w14:textId="2323B6D3">
            <w:pPr>
              <w:suppressAutoHyphens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Pr="007D553D" w:rsidR="00177915" w:rsidTr="39087C0A" w14:paraId="609CC02D" w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5B02EBA0" w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10</w:t>
            </w:r>
          </w:p>
        </w:tc>
        <w:tc>
          <w:tcPr>
            <w:tcW w:w="7455" w:type="dxa"/>
            <w:tcMar/>
          </w:tcPr>
          <w:p w:rsidRPr="007D553D" w:rsidR="00177915" w:rsidP="007D553D" w:rsidRDefault="007D553D" w14:paraId="1A163284" w14:textId="1E4DD505">
            <w:pPr>
              <w:suppressAutoHyphens/>
            </w:pPr>
            <w:r w:rsidR="12B11238">
              <w:rPr/>
              <w:t>Our automation strategy embeds security checks throughout the entire development lifecycle. This reduces manual errors and enhances overall resilience.</w:t>
            </w:r>
          </w:p>
        </w:tc>
      </w:tr>
      <w:tr w:rsidRPr="007D553D" w:rsidR="00177915" w:rsidTr="39087C0A" w14:paraId="35903F49" w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78857076" w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11</w:t>
            </w:r>
          </w:p>
        </w:tc>
        <w:tc>
          <w:tcPr>
            <w:tcW w:w="7455" w:type="dxa"/>
            <w:tcMar/>
          </w:tcPr>
          <w:p w:rsidRPr="007D553D" w:rsidR="00177915" w:rsidP="007D553D" w:rsidRDefault="007D553D" w14:paraId="32385135" w14:textId="7BA50D9F">
            <w:pPr>
              <w:suppressAutoHyphens/>
            </w:pPr>
            <w:r w:rsidR="208F1ABA">
              <w:rPr/>
              <w:t>Addressing security now is cost-effective and essential. Delaying security improvements multiplies future risks and expenses.</w:t>
            </w:r>
          </w:p>
        </w:tc>
      </w:tr>
      <w:tr w:rsidRPr="007D553D" w:rsidR="00177915" w:rsidTr="39087C0A" w14:paraId="2637279C" w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79D8B5F9" w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12</w:t>
            </w:r>
          </w:p>
        </w:tc>
        <w:tc>
          <w:tcPr>
            <w:tcW w:w="7455" w:type="dxa"/>
            <w:tcMar/>
          </w:tcPr>
          <w:p w:rsidRPr="007D553D" w:rsidR="00177915" w:rsidP="007D553D" w:rsidRDefault="007D553D" w14:paraId="09CA053A" w14:textId="0C6454C6">
            <w:pPr>
              <w:suppressAutoHyphens/>
            </w:pPr>
            <w:r w:rsidR="6E980714">
              <w:rPr/>
              <w:t>Our security posture must evolve continually. Regular policy updates, proactive training, and cutting-edge automated tests are essential moving forward.</w:t>
            </w:r>
          </w:p>
        </w:tc>
      </w:tr>
      <w:tr w:rsidRPr="007D553D" w:rsidR="00177915" w:rsidTr="39087C0A" w14:paraId="040861A0" w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2CF76596" w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13</w:t>
            </w:r>
          </w:p>
        </w:tc>
        <w:tc>
          <w:tcPr>
            <w:tcW w:w="7455" w:type="dxa"/>
            <w:tcMar/>
          </w:tcPr>
          <w:p w:rsidRPr="007D553D" w:rsidR="00177915" w:rsidP="007D553D" w:rsidRDefault="007D553D" w14:paraId="2A010422" w14:textId="5D975891">
            <w:pPr>
              <w:suppressAutoHyphens/>
            </w:pPr>
            <w:r w:rsidRPr="39087C0A" w:rsidR="7355AA2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To prevent future security issues, we need to adopt trusted standards like OWASP ASVS and NIST 800-53 across all workflows. This ensures every layer of the application meets consistent, vetted criteria for security and resilience</w:t>
            </w:r>
          </w:p>
        </w:tc>
      </w:tr>
      <w:tr w:rsidRPr="007D553D" w:rsidR="00177915" w:rsidTr="39087C0A" w14:paraId="37616630" w14:textId="77777777">
        <w:trPr>
          <w:trHeight w:val="1296"/>
        </w:trPr>
        <w:tc>
          <w:tcPr>
            <w:tcW w:w="2115" w:type="dxa"/>
            <w:tcMar/>
            <w:vAlign w:val="center"/>
          </w:tcPr>
          <w:p w:rsidRPr="007D553D" w:rsidR="00177915" w:rsidP="007D553D" w:rsidRDefault="00BA25B9" w14:paraId="5095DF5C" w14:textId="77777777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14</w:t>
            </w:r>
          </w:p>
        </w:tc>
        <w:tc>
          <w:tcPr>
            <w:tcW w:w="7455" w:type="dxa"/>
            <w:tcMar/>
          </w:tcPr>
          <w:p w:rsidRPr="007D553D" w:rsidR="00177915" w:rsidP="007D553D" w:rsidRDefault="007D553D" w14:paraId="20A6BB05" w14:textId="4F25079B">
            <w:pPr>
              <w:suppressAutoHyphens/>
            </w:pPr>
            <w:r w:rsidR="7DCCE5DB">
              <w:rPr/>
              <w:t>These sources informed the structure of our policy, especially NIST’s 800-53 guidelines and OWASP’s ASVS framework. Together, they help ensure our approach is both standardized and up-to-date with the industry’s best practices.</w:t>
            </w:r>
          </w:p>
        </w:tc>
      </w:tr>
    </w:tbl>
    <w:p w:rsidRPr="007D553D" w:rsidR="00177915" w:rsidP="007D553D" w:rsidRDefault="00177915" w14:paraId="2E9A2232" w14:textId="77777777">
      <w:pPr>
        <w:suppressAutoHyphens/>
        <w:spacing w:after="0" w:line="240" w:lineRule="auto"/>
        <w:rPr>
          <w:b/>
        </w:rPr>
      </w:pPr>
    </w:p>
    <w:sectPr w:rsidRPr="007D553D" w:rsidR="00177915">
      <w:headerReference w:type="default" r:id="rId1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224BE" w:rsidP="007D553D" w:rsidRDefault="006224BE" w14:paraId="008AA35B" w14:textId="77777777">
      <w:pPr>
        <w:spacing w:after="0" w:line="240" w:lineRule="auto"/>
      </w:pPr>
      <w:r>
        <w:separator/>
      </w:r>
    </w:p>
  </w:endnote>
  <w:endnote w:type="continuationSeparator" w:id="0">
    <w:p w:rsidR="006224BE" w:rsidP="007D553D" w:rsidRDefault="006224BE" w14:paraId="4014F90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224BE" w:rsidP="007D553D" w:rsidRDefault="006224BE" w14:paraId="4A282105" w14:textId="77777777">
      <w:pPr>
        <w:spacing w:after="0" w:line="240" w:lineRule="auto"/>
      </w:pPr>
      <w:r>
        <w:separator/>
      </w:r>
    </w:p>
  </w:footnote>
  <w:footnote w:type="continuationSeparator" w:id="0">
    <w:p w:rsidR="006224BE" w:rsidP="007D553D" w:rsidRDefault="006224BE" w14:paraId="6C639FE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16du wp14">
  <w:p w:rsidR="007D553D" w:rsidP="007D553D" w:rsidRDefault="003463DD" w14:paraId="3BDC6DC4" w14:textId="160ED5CB">
    <w:pPr>
      <w:pStyle w:val="Header"/>
      <w:suppressAutoHyphens/>
      <w:spacing w:after="200"/>
      <w:jc w:val="center"/>
    </w:pPr>
    <w:r w:rsidRPr="00085B81">
      <w:rPr>
        <w:noProof/>
      </w:rPr>
      <w:drawing>
        <wp:inline distT="0" distB="0" distL="0" distR="0" wp14:anchorId="522C8B89" wp14:editId="11F1E8D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15"/>
    <w:rsid w:val="00177915"/>
    <w:rsid w:val="0032543C"/>
    <w:rsid w:val="003463DD"/>
    <w:rsid w:val="006224BE"/>
    <w:rsid w:val="007D553D"/>
    <w:rsid w:val="00BA25B9"/>
    <w:rsid w:val="0204FA4F"/>
    <w:rsid w:val="020DA7FB"/>
    <w:rsid w:val="0FEF55FB"/>
    <w:rsid w:val="12B11238"/>
    <w:rsid w:val="1E800F09"/>
    <w:rsid w:val="208F1ABA"/>
    <w:rsid w:val="226F2E77"/>
    <w:rsid w:val="28C65342"/>
    <w:rsid w:val="2FEF0AF7"/>
    <w:rsid w:val="39087C0A"/>
    <w:rsid w:val="3A30530F"/>
    <w:rsid w:val="3C24ED71"/>
    <w:rsid w:val="3E8E6AEB"/>
    <w:rsid w:val="42D453B0"/>
    <w:rsid w:val="5B383E18"/>
    <w:rsid w:val="5BBA0A02"/>
    <w:rsid w:val="6073BB18"/>
    <w:rsid w:val="633C8A3A"/>
    <w:rsid w:val="6E980714"/>
    <w:rsid w:val="7327DC09"/>
    <w:rsid w:val="7355AA29"/>
    <w:rsid w:val="77FC805A"/>
    <w:rsid w:val="7CE8B3ED"/>
    <w:rsid w:val="7DCCE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FB253"/>
  <w15:docId w15:val="{47EA495F-09DC-41DF-B051-218173DE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rsid w:val="007D553D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semiHidden/>
    <w:unhideWhenUsed/>
    <w:rsid w:val="007D5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hyperlink" Target="https://youtu.be/ir9oiREpToM" TargetMode="External" Id="R5ba1e409e0af460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48FA902-3E86-40A4-A23F-F59576B39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Candice Wade</dc:creator>
  <lastModifiedBy>Deso, Zane</lastModifiedBy>
  <revision>4</revision>
  <dcterms:created xsi:type="dcterms:W3CDTF">2020-11-04T19:09:00.0000000Z</dcterms:created>
  <dcterms:modified xsi:type="dcterms:W3CDTF">2025-06-28T15:53:26.6348440Z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