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Buyer Voice Analysis</w:t>
      </w:r>
    </w:p>
    <w:p>
      <w:pPr>
        <w:spacing w:after="40"/>
      </w:pPr>
      <w:r>
        <w:rPr>
          <w:rFonts w:ascii="Calibri" w:cs="Calibri" w:eastAsia="Calibri" w:hAnsi="Calibri"/>
          <w:color w:val="595959"/>
          <w:sz w:val="24"/>
          <w:szCs w:val="24"/>
        </w:rPr>
        <w:t xml:space="preserve">Sample package for schema design</w:t>
      </w:r>
    </w:p>
    <w:p>
      <w:pPr>
        <w:spacing w:after="60"/>
      </w:pPr>
      <w:r>
        <w:rPr>
          <w:rFonts w:ascii="Calibri" w:cs="Calibri" w:eastAsia="Calibri" w:hAnsi="Calibri"/>
          <w:color w:val="595959"/>
          <w:sz w:val="20"/>
          <w:szCs w:val="20"/>
        </w:rPr>
        <w:t xml:space="preserve">Prepared for Zane West  ·  Nick DiLorenzo  ·  August 2026</w:t>
      </w:r>
    </w:p>
    <w:p>
      <w:pPr>
        <w:pBdr>
          <w:bottom w:val="single" w:color="D0D0D0" w:sz="6" w:space="1"/>
        </w:pBdr>
        <w:spacing w:after="200" w:before="120"/>
      </w:pPr>
      <w:r>
        <w:rPr>
          <w:sz w:val="2"/>
          <w:szCs w:val="2"/>
        </w:rPr>
        <w:t xml:space="preserve"/>
      </w:r>
    </w:p>
    <w:p>
      <w:pPr>
        <w:pStyle w:val="Heading1"/>
        <w:spacing w:after="160" w:before="360"/>
      </w:pPr>
      <w:r>
        <w:rPr>
          <w:rFonts w:ascii="Calibri" w:cs="Calibri" w:eastAsia="Calibri" w:hAnsi="Calibri"/>
          <w:b/>
          <w:bCs/>
          <w:color w:val="1F3864"/>
          <w:sz w:val="30"/>
          <w:szCs w:val="30"/>
        </w:rPr>
        <w:t xml:space="preserve">What this is</w:t>
      </w:r>
    </w:p>
    <w:p>
      <w:pPr>
        <w:spacing w:after="140"/>
      </w:pPr>
      <w:r>
        <w:rPr>
          <w:rFonts w:ascii="Calibri" w:cs="Calibri" w:eastAsia="Calibri" w:hAnsi="Calibri"/>
          <w:i w:val="false"/>
          <w:iCs w:val="false"/>
          <w:sz w:val="21"/>
          <w:szCs w:val="21"/>
        </w:rPr>
        <w:t xml:space="preserve">Six shipped slides from two projects, the source data behind them, and the prompts that produced them. The intent is to show what the current process does and where it is manual, so the evaluation schema can be built against real output rather than a description of it.</w:t>
      </w:r>
    </w:p>
    <w:p>
      <w:pPr>
        <w:spacing w:after="140"/>
      </w:pPr>
      <w:r>
        <w:rPr>
          <w:rFonts w:ascii="Calibri" w:cs="Calibri" w:eastAsia="Calibri" w:hAnsi="Calibri"/>
          <w:i w:val="false"/>
          <w:iCs w:val="false"/>
          <w:sz w:val="21"/>
          <w:szCs w:val="21"/>
        </w:rPr>
        <w:t xml:space="preserve">Everything here is internal Gartner material. The interaction records are end-user client conversations.</w:t>
      </w:r>
    </w:p>
    <w:p>
      <w:pPr>
        <w:pStyle w:val="Heading1"/>
        <w:spacing w:after="160" w:before="360"/>
      </w:pPr>
      <w:r>
        <w:rPr>
          <w:rFonts w:ascii="Calibri" w:cs="Calibri" w:eastAsia="Calibri" w:hAnsi="Calibri"/>
          <w:b/>
          <w:bCs/>
          <w:color w:val="1F3864"/>
          <w:sz w:val="30"/>
          <w:szCs w:val="30"/>
        </w:rPr>
        <w:t xml:space="preserve">Contents</w:t>
      </w:r>
    </w:p>
    <w:p>
      <w:pPr>
        <w:pStyle w:val="ListParagraph"/>
        <w:numPr>
          <w:ilvl w:val="0"/>
          <w:numId w:val="2"/>
        </w:numPr>
        <w:spacing w:after="90"/>
      </w:pPr>
      <w:r>
        <w:rPr>
          <w:rFonts w:ascii="Calibri" w:cs="Calibri" w:eastAsia="Calibri" w:hAnsi="Calibri"/>
          <w:b/>
          <w:bCs/>
          <w:i w:val="false"/>
          <w:iCs w:val="false"/>
          <w:sz w:val="21"/>
          <w:szCs w:val="21"/>
        </w:rPr>
        <w:t xml:space="preserve">Deck</w:t>
      </w:r>
      <w:r>
        <w:rPr>
          <w:rFonts w:ascii="Calibri" w:cs="Calibri" w:eastAsia="Calibri" w:hAnsi="Calibri"/>
          <w:b w:val="false"/>
          <w:bCs w:val="false"/>
          <w:i w:val="false"/>
          <w:iCs w:val="false"/>
          <w:sz w:val="21"/>
          <w:szCs w:val="21"/>
        </w:rPr>
        <w:t xml:space="preserve"> — six slides, PowerPoint</w:t>
      </w:r>
    </w:p>
    <w:p>
      <w:pPr>
        <w:pStyle w:val="ListParagraph"/>
        <w:numPr>
          <w:ilvl w:val="0"/>
          <w:numId w:val="2"/>
        </w:numPr>
        <w:spacing w:after="90"/>
      </w:pPr>
      <w:r>
        <w:rPr>
          <w:rFonts w:ascii="Calibri" w:cs="Calibri" w:eastAsia="Calibri" w:hAnsi="Calibri"/>
          <w:b/>
          <w:bCs/>
          <w:i w:val="false"/>
          <w:iCs w:val="false"/>
          <w:sz w:val="21"/>
          <w:szCs w:val="21"/>
        </w:rPr>
        <w:t xml:space="preserve">Corpora - Raw GEAR</w:t>
      </w:r>
      <w:r>
        <w:rPr>
          <w:rFonts w:ascii="Calibri" w:cs="Calibri" w:eastAsia="Calibri" w:hAnsi="Calibri"/>
          <w:b w:val="false"/>
          <w:bCs w:val="false"/>
          <w:i w:val="false"/>
          <w:iCs w:val="false"/>
          <w:sz w:val="21"/>
          <w:szCs w:val="21"/>
        </w:rPr>
        <w:t xml:space="preserve"> — the two source exports as they came out of GEAR (.csv)</w:t>
      </w:r>
    </w:p>
    <w:p>
      <w:pPr>
        <w:pStyle w:val="ListParagraph"/>
        <w:numPr>
          <w:ilvl w:val="0"/>
          <w:numId w:val="2"/>
        </w:numPr>
        <w:spacing w:after="90"/>
      </w:pPr>
      <w:r>
        <w:rPr>
          <w:rFonts w:ascii="Calibri" w:cs="Calibri" w:eastAsia="Calibri" w:hAnsi="Calibri"/>
          <w:b/>
          <w:bCs/>
          <w:i w:val="false"/>
          <w:iCs w:val="false"/>
          <w:sz w:val="21"/>
          <w:szCs w:val="21"/>
        </w:rPr>
        <w:t xml:space="preserve">Corpora - Formatted</w:t>
      </w:r>
      <w:r>
        <w:rPr>
          <w:rFonts w:ascii="Calibri" w:cs="Calibri" w:eastAsia="Calibri" w:hAnsi="Calibri"/>
          <w:b w:val="false"/>
          <w:bCs w:val="false"/>
          <w:i w:val="false"/>
          <w:iCs w:val="false"/>
          <w:sz w:val="21"/>
          <w:szCs w:val="21"/>
        </w:rPr>
        <w:t xml:space="preserve"> — the same two corpora after formatting, split by quarter (.txt). These are the files the notebook actually read.</w:t>
      </w:r>
    </w:p>
    <w:p>
      <w:pPr>
        <w:pStyle w:val="ListParagraph"/>
        <w:numPr>
          <w:ilvl w:val="0"/>
          <w:numId w:val="2"/>
        </w:numPr>
        <w:spacing w:after="90"/>
      </w:pPr>
      <w:r>
        <w:rPr>
          <w:rFonts w:ascii="Calibri" w:cs="Calibri" w:eastAsia="Calibri" w:hAnsi="Calibri"/>
          <w:b/>
          <w:bCs/>
          <w:i w:val="false"/>
          <w:iCs w:val="false"/>
          <w:sz w:val="21"/>
          <w:szCs w:val="21"/>
        </w:rPr>
        <w:t xml:space="preserve">Script</w:t>
      </w:r>
      <w:r>
        <w:rPr>
          <w:rFonts w:ascii="Calibri" w:cs="Calibri" w:eastAsia="Calibri" w:hAnsi="Calibri"/>
          <w:b w:val="false"/>
          <w:bCs w:val="false"/>
          <w:i w:val="false"/>
          <w:iCs w:val="false"/>
          <w:sz w:val="21"/>
          <w:szCs w:val="21"/>
        </w:rPr>
        <w:t xml:space="preserve"> — the Python formatter that turns the raw export into the formatted files</w:t>
      </w:r>
    </w:p>
    <w:p>
      <w:pPr>
        <w:pStyle w:val="ListParagraph"/>
        <w:numPr>
          <w:ilvl w:val="0"/>
          <w:numId w:val="2"/>
        </w:numPr>
        <w:spacing w:after="90"/>
      </w:pPr>
      <w:r>
        <w:rPr>
          <w:rFonts w:ascii="Calibri" w:cs="Calibri" w:eastAsia="Calibri" w:hAnsi="Calibri"/>
          <w:b/>
          <w:bCs/>
          <w:i w:val="false"/>
          <w:iCs w:val="false"/>
          <w:sz w:val="21"/>
          <w:szCs w:val="21"/>
        </w:rPr>
        <w:t xml:space="preserve">Prompts</w:t>
      </w:r>
      <w:r>
        <w:rPr>
          <w:rFonts w:ascii="Calibri" w:cs="Calibri" w:eastAsia="Calibri" w:hAnsi="Calibri"/>
          <w:b w:val="false"/>
          <w:bCs w:val="false"/>
          <w:i w:val="false"/>
          <w:iCs w:val="false"/>
          <w:sz w:val="21"/>
          <w:szCs w:val="21"/>
        </w:rPr>
        <w:t xml:space="preserve"> — Prompts.docx: every persistent and main prompt behind the six slides, plus two validation examples</w:t>
      </w:r>
    </w:p>
    <w:p>
      <w:pPr>
        <w:pStyle w:val="ListParagraph"/>
        <w:numPr>
          <w:ilvl w:val="0"/>
          <w:numId w:val="2"/>
        </w:numPr>
        <w:spacing w:after="90"/>
      </w:pPr>
      <w:r>
        <w:rPr>
          <w:rFonts w:ascii="Calibri" w:cs="Calibri" w:eastAsia="Calibri" w:hAnsi="Calibri"/>
          <w:b/>
          <w:bCs/>
          <w:i w:val="false"/>
          <w:iCs w:val="false"/>
          <w:sz w:val="21"/>
          <w:szCs w:val="21"/>
        </w:rPr>
        <w:t xml:space="preserve">rubric.docx</w:t>
      </w:r>
      <w:r>
        <w:rPr>
          <w:rFonts w:ascii="Calibri" w:cs="Calibri" w:eastAsia="Calibri" w:hAnsi="Calibri"/>
          <w:b w:val="false"/>
          <w:bCs w:val="false"/>
          <w:i w:val="false"/>
          <w:iCs w:val="false"/>
          <w:sz w:val="21"/>
          <w:szCs w:val="21"/>
        </w:rPr>
        <w:t xml:space="preserve"> — the rating criteria, written out</w:t>
      </w:r>
    </w:p>
    <w:p>
      <w:pPr>
        <w:pStyle w:val="Heading1"/>
        <w:spacing w:after="160" w:before="360"/>
      </w:pPr>
      <w:r>
        <w:rPr>
          <w:rFonts w:ascii="Calibri" w:cs="Calibri" w:eastAsia="Calibri" w:hAnsi="Calibri"/>
          <w:b/>
          <w:bCs/>
          <w:color w:val="1F3864"/>
          <w:sz w:val="30"/>
          <w:szCs w:val="30"/>
        </w:rPr>
        <w:t xml:space="preserve">The two projects</w:t>
      </w:r>
    </w:p>
    <w:p>
      <w:pPr>
        <w:pStyle w:val="Heading2"/>
        <w:spacing w:after="120" w:before="280"/>
      </w:pPr>
      <w:r>
        <w:rPr>
          <w:rFonts w:ascii="Calibri" w:cs="Calibri" w:eastAsia="Calibri" w:hAnsi="Calibri"/>
          <w:b/>
          <w:bCs/>
          <w:color w:val="1F3864"/>
          <w:sz w:val="24"/>
          <w:szCs w:val="24"/>
        </w:rPr>
        <w:t xml:space="preserve">OpenAI — GGM Power POC, July 2026</w:t>
      </w:r>
    </w:p>
    <w:p>
      <w:pPr>
        <w:spacing w:after="140"/>
      </w:pPr>
      <w:r>
        <w:rPr>
          <w:rFonts w:ascii="Calibri" w:cs="Calibri" w:eastAsia="Calibri" w:hAnsi="Calibri"/>
          <w:i w:val="false"/>
          <w:iCs w:val="false"/>
          <w:sz w:val="21"/>
          <w:szCs w:val="21"/>
        </w:rPr>
        <w:t xml:space="preserve">Source: Gartner end-user interaction data, 2026 YTD, OpenAI-anchored, all industries. 3,555 interactions.</w:t>
      </w:r>
    </w:p>
    <w:p>
      <w:pPr>
        <w:spacing w:after="140"/>
      </w:pPr>
      <w:r>
        <w:rPr>
          <w:rFonts w:ascii="Calibri" w:cs="Calibri" w:eastAsia="Calibri" w:hAnsi="Calibri"/>
          <w:i w:val="false"/>
          <w:iCs w:val="false"/>
          <w:sz w:val="21"/>
          <w:szCs w:val="21"/>
        </w:rPr>
        <w:t xml:space="preserve">Three slides, all built from the same corpus and the same persistent prompt. They differ only in whether a market definition was applied in the main prompt. Scoping happened at the prompt layer, not the data layer.</w:t>
      </w:r>
    </w:p>
    <w:p>
      <w:pPr>
        <w:pStyle w:val="Heading2"/>
        <w:spacing w:after="120" w:before="280"/>
      </w:pPr>
      <w:r>
        <w:rPr>
          <w:rFonts w:ascii="Calibri" w:cs="Calibri" w:eastAsia="Calibri" w:hAnsi="Calibri"/>
          <w:b/>
          <w:bCs/>
          <w:color w:val="1F3864"/>
          <w:sz w:val="24"/>
          <w:szCs w:val="24"/>
        </w:rPr>
        <w:t xml:space="preserve">ServiceNow — 3Q26 CEO briefing, July 2026</w:t>
      </w:r>
    </w:p>
    <w:p>
      <w:pPr>
        <w:spacing w:after="140"/>
      </w:pPr>
      <w:r>
        <w:rPr>
          <w:rFonts w:ascii="Calibri" w:cs="Calibri" w:eastAsia="Calibri" w:hAnsi="Calibri"/>
          <w:i w:val="false"/>
          <w:iCs w:val="false"/>
          <w:sz w:val="21"/>
          <w:szCs w:val="21"/>
        </w:rPr>
        <w:t xml:space="preserve">Source: end-user interactions, 1Q26 through July 2026, commercial-friction cut. 4,114 interactions drawn from a 5,911-record anchor set.</w:t>
      </w:r>
    </w:p>
    <w:p>
      <w:pPr>
        <w:spacing w:after="140"/>
      </w:pPr>
      <w:r>
        <w:rPr>
          <w:rFonts w:ascii="Calibri" w:cs="Calibri" w:eastAsia="Calibri" w:hAnsi="Calibri"/>
          <w:i w:val="false"/>
          <w:iCs w:val="false"/>
          <w:sz w:val="21"/>
          <w:szCs w:val="21"/>
        </w:rPr>
        <w:t xml:space="preserve">Three slides. Unlike OpenAI, the five top-level categories were supplied by the client team rather than discovered. Themes were found within them.</w:t>
      </w:r>
    </w:p>
    <w:p>
      <w:pPr>
        <w:pStyle w:val="Heading1"/>
        <w:spacing w:after="160" w:before="360"/>
      </w:pPr>
      <w:r>
        <w:rPr>
          <w:rFonts w:ascii="Calibri" w:cs="Calibri" w:eastAsia="Calibri" w:hAnsi="Calibri"/>
          <w:b/>
          <w:bCs/>
          <w:color w:val="1F3864"/>
          <w:sz w:val="30"/>
          <w:szCs w:val="30"/>
        </w:rPr>
        <w:t xml:space="preserve">Slide-to-source map</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2700"/>
        <w:gridCol w:w="1760"/>
      </w:tblGrid>
      <w:tr>
        <w:trPr>
          <w:cantSplit/>
          <w:tblHeader/>
        </w:trPr>
        <w:tc>
          <w:tcPr>
            <w:tcW w:type="dxa" w:w="3600"/>
            <w:shd w:fill="1F3864"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Slide</w:t>
            </w:r>
          </w:p>
        </w:tc>
        <w:tc>
          <w:tcPr>
            <w:tcW w:type="dxa" w:w="1900"/>
            <w:shd w:fill="1F3864"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Corpus</w:t>
            </w:r>
          </w:p>
        </w:tc>
        <w:tc>
          <w:tcPr>
            <w:tcW w:type="dxa" w:w="2700"/>
            <w:shd w:fill="1F3864"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Prompts.docx</w:t>
            </w:r>
          </w:p>
        </w:tc>
        <w:tc>
          <w:tcPr>
            <w:tcW w:type="dxa" w:w="1760"/>
            <w:shd w:fill="1F3864"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Scoping</w:t>
            </w:r>
          </w:p>
        </w:tc>
      </w:tr>
      <w:tr>
        <w:trPr>
          <w:cantSplit/>
          <w:tblHeader w:val="false"/>
        </w:trPr>
        <w:tc>
          <w:tcPr>
            <w:tcW w:type="dxa" w:w="36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Top questions enterprise buyers are asking about OpenAI</w:t>
            </w:r>
          </w:p>
        </w:tc>
        <w:tc>
          <w:tcPr>
            <w:tcW w:type="dxa" w:w="19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OpenAI v3</w:t>
            </w:r>
          </w:p>
        </w:tc>
        <w:tc>
          <w:tcPr>
            <w:tcW w:type="dxa" w:w="27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1.1 + 1.2, 1.3, 1.4</w:t>
            </w:r>
          </w:p>
        </w:tc>
        <w:tc>
          <w:tcPr>
            <w:tcW w:type="dxa" w:w="176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Discovered</w:t>
            </w:r>
          </w:p>
        </w:tc>
      </w:tr>
      <w:tr>
        <w:trPr>
          <w:cantSplit/>
          <w:tblHeader w:val="false"/>
        </w:trPr>
        <w:tc>
          <w:tcPr>
            <w:tcW w:type="dxa" w:w="36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What enterprise buyers are asking about OpenAI: Enterprise AI Assistants</w:t>
            </w:r>
          </w:p>
        </w:tc>
        <w:tc>
          <w:tcPr>
            <w:tcW w:type="dxa" w:w="19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OpenAI v3</w:t>
            </w:r>
          </w:p>
        </w:tc>
        <w:tc>
          <w:tcPr>
            <w:tcW w:type="dxa" w:w="27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1.1 + 1.5, 1.6</w:t>
            </w:r>
          </w:p>
        </w:tc>
        <w:tc>
          <w:tcPr>
            <w:tcW w:type="dxa" w:w="176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Discovered within market</w:t>
            </w:r>
          </w:p>
        </w:tc>
      </w:tr>
      <w:tr>
        <w:trPr>
          <w:cantSplit/>
          <w:tblHeader w:val="false"/>
        </w:trPr>
        <w:tc>
          <w:tcPr>
            <w:tcW w:type="dxa" w:w="36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What enterprise buyers are asking about OpenAI: Enterprise AI Coding Agents</w:t>
            </w:r>
          </w:p>
        </w:tc>
        <w:tc>
          <w:tcPr>
            <w:tcW w:type="dxa" w:w="19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OpenAI v3</w:t>
            </w:r>
          </w:p>
        </w:tc>
        <w:tc>
          <w:tcPr>
            <w:tcW w:type="dxa" w:w="27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1.1 + 1.5, 1.7</w:t>
            </w:r>
          </w:p>
        </w:tc>
        <w:tc>
          <w:tcPr>
            <w:tcW w:type="dxa" w:w="176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Discovered within market</w:t>
            </w:r>
          </w:p>
        </w:tc>
      </w:tr>
      <w:tr>
        <w:trPr>
          <w:cantSplit/>
          <w:tblHeader w:val="false"/>
        </w:trPr>
        <w:tc>
          <w:tcPr>
            <w:tcW w:type="dxa" w:w="36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Commercial friction across the five deep-dive areas</w:t>
            </w:r>
          </w:p>
        </w:tc>
        <w:tc>
          <w:tcPr>
            <w:tcW w:type="dxa" w:w="19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ServiceNow commercial</w:t>
            </w:r>
          </w:p>
        </w:tc>
        <w:tc>
          <w:tcPr>
            <w:tcW w:type="dxa" w:w="27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2.1 + 2.2, 2.3, 2.4</w:t>
            </w:r>
          </w:p>
        </w:tc>
        <w:tc>
          <w:tcPr>
            <w:tcW w:type="dxa" w:w="176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Categories supplied</w:t>
            </w:r>
          </w:p>
        </w:tc>
      </w:tr>
      <w:tr>
        <w:trPr>
          <w:cantSplit/>
          <w:tblHeader w:val="false"/>
        </w:trPr>
        <w:tc>
          <w:tcPr>
            <w:tcW w:type="dxa" w:w="36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AI-native pricing and packaging</w:t>
            </w:r>
          </w:p>
        </w:tc>
        <w:tc>
          <w:tcPr>
            <w:tcW w:type="dxa" w:w="19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ServiceNow commercial</w:t>
            </w:r>
          </w:p>
        </w:tc>
        <w:tc>
          <w:tcPr>
            <w:tcW w:type="dxa" w:w="27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2.1 + 2.2, 2.3, 2.4</w:t>
            </w:r>
          </w:p>
        </w:tc>
        <w:tc>
          <w:tcPr>
            <w:tcW w:type="dxa" w:w="176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Categories supplied</w:t>
            </w:r>
          </w:p>
        </w:tc>
      </w:tr>
      <w:tr>
        <w:trPr>
          <w:cantSplit/>
          <w:tblHeader w:val="false"/>
        </w:trPr>
        <w:tc>
          <w:tcPr>
            <w:tcW w:type="dxa" w:w="36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Cost-offset tactics using ServiceNow's own tools</w:t>
            </w:r>
          </w:p>
        </w:tc>
        <w:tc>
          <w:tcPr>
            <w:tcW w:type="dxa" w:w="19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ServiceNow commercial</w:t>
            </w:r>
          </w:p>
        </w:tc>
        <w:tc>
          <w:tcPr>
            <w:tcW w:type="dxa" w:w="27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2.1 + 2.2, 2.3, 2.4</w:t>
            </w:r>
          </w:p>
        </w:tc>
        <w:tc>
          <w:tcPr>
            <w:tcW w:type="dxa" w:w="176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Categories supplied</w:t>
            </w:r>
          </w:p>
        </w:tc>
      </w:tr>
    </w:tbl>
    <w:p>
      <w:pPr>
        <w:spacing w:after="120"/>
      </w:pPr>
      <w:r>
        <w:rPr>
          <w:sz w:val="12"/>
          <w:szCs w:val="12"/>
        </w:rPr>
        <w:t xml:space="preserve"/>
      </w:r>
    </w:p>
    <w:p>
      <w:pPr>
        <w:pStyle w:val="Heading1"/>
        <w:spacing w:after="160" w:before="360"/>
      </w:pPr>
      <w:r>
        <w:rPr>
          <w:rFonts w:ascii="Calibri" w:cs="Calibri" w:eastAsia="Calibri" w:hAnsi="Calibri"/>
          <w:b/>
          <w:bCs/>
          <w:color w:val="1F3864"/>
          <w:sz w:val="30"/>
          <w:szCs w:val="30"/>
        </w:rPr>
        <w:t xml:space="preserve">Reading the ratings</w:t>
      </w:r>
    </w:p>
    <w:p>
      <w:pPr>
        <w:pStyle w:val="Heading2"/>
        <w:spacing w:after="120" w:before="280"/>
      </w:pPr>
      <w:r>
        <w:rPr>
          <w:rFonts w:ascii="Calibri" w:cs="Calibri" w:eastAsia="Calibri" w:hAnsi="Calibri"/>
          <w:b/>
          <w:bCs/>
          <w:color w:val="1F3864"/>
          <w:sz w:val="24"/>
          <w:szCs w:val="24"/>
        </w:rPr>
        <w:t xml:space="preserve">Spread</w:t>
      </w:r>
    </w:p>
    <w:p>
      <w:pPr>
        <w:spacing w:after="140"/>
      </w:pPr>
      <w:r>
        <w:rPr>
          <w:rFonts w:ascii="Calibri" w:cs="Calibri" w:eastAsia="Calibri" w:hAnsi="Calibri"/>
          <w:i w:val="false"/>
          <w:iCs w:val="false"/>
          <w:sz w:val="21"/>
          <w:szCs w:val="21"/>
        </w:rPr>
        <w:t xml:space="preserve">Four values: Pervasive, Significant, Moderate, Niche.</w:t>
      </w:r>
    </w:p>
    <w:p>
      <w:pPr>
        <w:spacing w:after="140"/>
      </w:pPr>
      <w:r>
        <w:rPr>
          <w:rFonts w:ascii="Calibri" w:cs="Calibri" w:eastAsia="Calibri" w:hAnsi="Calibri"/>
          <w:i w:val="false"/>
          <w:iCs w:val="false"/>
          <w:sz w:val="21"/>
          <w:szCs w:val="21"/>
        </w:rPr>
        <w:t xml:space="preserve">How consistently a concern recurs and how broadly it spans roles, sectors and regions. Conjunctive — neither alone reaches the top of the scale.</w:t>
      </w:r>
    </w:p>
    <w:p>
      <w:pPr>
        <w:spacing w:after="140"/>
      </w:pPr>
      <w:r>
        <w:rPr>
          <w:rFonts w:ascii="Calibri" w:cs="Calibri" w:eastAsia="Calibri" w:hAnsi="Calibri"/>
          <w:b/>
          <w:bCs/>
          <w:i w:val="false"/>
          <w:iCs w:val="false"/>
          <w:sz w:val="21"/>
          <w:szCs w:val="21"/>
        </w:rPr>
        <w:t xml:space="preserve">Note: </w:t>
      </w:r>
      <w:r>
        <w:rPr>
          <w:rFonts w:ascii="Calibri" w:cs="Calibri" w:eastAsia="Calibri" w:hAnsi="Calibri"/>
          <w:b w:val="false"/>
          <w:bCs w:val="false"/>
          <w:i w:val="false"/>
          <w:iCs w:val="false"/>
          <w:sz w:val="21"/>
          <w:szCs w:val="21"/>
        </w:rPr>
        <w:t xml:space="preserve">the OpenAI slides label this column Prevalence. It is the same field. Spread is the current name.</w:t>
      </w:r>
    </w:p>
    <w:p>
      <w:pPr>
        <w:spacing w:after="140"/>
      </w:pPr>
      <w:r>
        <w:rPr>
          <w:rFonts w:ascii="Calibri" w:cs="Calibri" w:eastAsia="Calibri" w:hAnsi="Calibri"/>
          <w:b/>
          <w:bCs/>
          <w:i w:val="false"/>
          <w:iCs w:val="false"/>
          <w:sz w:val="21"/>
          <w:szCs w:val="21"/>
        </w:rPr>
        <w:t xml:space="preserve">Important for the schema. </w:t>
      </w:r>
      <w:r>
        <w:rPr>
          <w:rFonts w:ascii="Calibri" w:cs="Calibri" w:eastAsia="Calibri" w:hAnsi="Calibri"/>
          <w:b w:val="false"/>
          <w:bCs w:val="false"/>
          <w:i w:val="false"/>
          <w:iCs w:val="false"/>
          <w:sz w:val="21"/>
          <w:szCs w:val="21"/>
        </w:rPr>
        <w:t xml:space="preserve">Spread is assessed against the qualifying records in that cut, not against the full corpus. The two OpenAI market slides have very different bases — Assistants 124 qualifying records, Coding Agents 32 — so identical labels across those slides represent different absolute volumes. Whatever computes this needs the qualifying set as an explicit input.</w:t>
      </w:r>
    </w:p>
    <w:p>
      <w:pPr>
        <w:pStyle w:val="Heading2"/>
        <w:spacing w:after="120" w:before="280"/>
      </w:pPr>
      <w:r>
        <w:rPr>
          <w:rFonts w:ascii="Calibri" w:cs="Calibri" w:eastAsia="Calibri" w:hAnsi="Calibri"/>
          <w:b/>
          <w:bCs/>
          <w:color w:val="1F3864"/>
          <w:sz w:val="24"/>
          <w:szCs w:val="24"/>
        </w:rPr>
        <w:t xml:space="preserve">Trajectory</w:t>
      </w:r>
    </w:p>
    <w:p>
      <w:pPr>
        <w:spacing w:after="140"/>
      </w:pPr>
      <w:r>
        <w:rPr>
          <w:rFonts w:ascii="Calibri" w:cs="Calibri" w:eastAsia="Calibri" w:hAnsi="Calibri"/>
          <w:i w:val="false"/>
          <w:iCs w:val="false"/>
          <w:sz w:val="21"/>
          <w:szCs w:val="21"/>
        </w:rPr>
        <w:t xml:space="preserve">Four values: New, Intensifying, Stable, Fading. Compares two windows.</w:t>
      </w:r>
    </w:p>
    <w:p>
      <w:pPr>
        <w:spacing w:after="140"/>
      </w:pPr>
      <w:r>
        <w:rPr>
          <w:rFonts w:ascii="Calibri" w:cs="Calibri" w:eastAsia="Calibri" w:hAnsi="Calibri"/>
          <w:i w:val="false"/>
          <w:iCs w:val="false"/>
          <w:sz w:val="21"/>
          <w:szCs w:val="21"/>
        </w:rPr>
        <w:t xml:space="preserve">Present only on the ServiceNow slides. The OpenAI project was a single window.</w:t>
      </w:r>
    </w:p>
    <w:p>
      <w:pPr>
        <w:pStyle w:val="Heading2"/>
        <w:spacing w:after="120" w:before="280"/>
      </w:pPr>
      <w:r>
        <w:rPr>
          <w:rFonts w:ascii="Calibri" w:cs="Calibri" w:eastAsia="Calibri" w:hAnsi="Calibri"/>
          <w:b/>
          <w:bCs/>
          <w:color w:val="1F3864"/>
          <w:sz w:val="24"/>
          <w:szCs w:val="24"/>
        </w:rPr>
        <w:t xml:space="preserve">Roles asking, industries, regions</w:t>
      </w:r>
    </w:p>
    <w:p>
      <w:pPr>
        <w:spacing w:after="140"/>
      </w:pPr>
      <w:r>
        <w:rPr>
          <w:rFonts w:ascii="Calibri" w:cs="Calibri" w:eastAsia="Calibri" w:hAnsi="Calibri"/>
          <w:i w:val="false"/>
          <w:iCs w:val="false"/>
          <w:sz w:val="21"/>
          <w:szCs w:val="21"/>
        </w:rPr>
        <w:t xml:space="preserve">Descriptive, drawn from the metadata on the supporting records. On the deep-dive slides this is the line at the foot of each card.</w:t>
      </w:r>
    </w:p>
    <w:p>
      <w:pPr>
        <w:pStyle w:val="Heading1"/>
        <w:spacing w:after="160" w:before="360"/>
      </w:pPr>
      <w:r>
        <w:rPr>
          <w:rFonts w:ascii="Calibri" w:cs="Calibri" w:eastAsia="Calibri" w:hAnsi="Calibri"/>
          <w:b/>
          <w:bCs/>
          <w:color w:val="1F3864"/>
          <w:sz w:val="30"/>
          <w:szCs w:val="30"/>
        </w:rPr>
        <w:t xml:space="preserve">Deliberate conventions</w:t>
      </w:r>
    </w:p>
    <w:p>
      <w:pPr>
        <w:pStyle w:val="ListParagraph"/>
        <w:numPr>
          <w:ilvl w:val="0"/>
          <w:numId w:val="2"/>
        </w:numPr>
        <w:spacing w:after="90"/>
      </w:pPr>
      <w:r>
        <w:rPr>
          <w:rFonts w:ascii="Calibri" w:cs="Calibri" w:eastAsia="Calibri" w:hAnsi="Calibri"/>
          <w:b w:val="false"/>
          <w:bCs w:val="false"/>
          <w:i w:val="false"/>
          <w:iCs w:val="false"/>
          <w:sz w:val="21"/>
          <w:szCs w:val="21"/>
        </w:rPr>
        <w:t xml:space="preserve">No counts anywhere on the slides.</w:t>
      </w:r>
    </w:p>
    <w:p>
      <w:pPr>
        <w:pStyle w:val="ListParagraph"/>
        <w:numPr>
          <w:ilvl w:val="0"/>
          <w:numId w:val="2"/>
        </w:numPr>
        <w:spacing w:after="90"/>
      </w:pPr>
      <w:r>
        <w:rPr>
          <w:rFonts w:ascii="Calibri" w:cs="Calibri" w:eastAsia="Calibri" w:hAnsi="Calibri"/>
          <w:b w:val="false"/>
          <w:bCs w:val="false"/>
          <w:i w:val="false"/>
          <w:iCs w:val="false"/>
          <w:sz w:val="21"/>
          <w:szCs w:val="21"/>
        </w:rPr>
        <w:t xml:space="preserve">No reference numbers on the slides.</w:t>
      </w:r>
    </w:p>
    <w:p>
      <w:pPr>
        <w:pStyle w:val="ListParagraph"/>
        <w:numPr>
          <w:ilvl w:val="0"/>
          <w:numId w:val="2"/>
        </w:numPr>
        <w:spacing w:after="90"/>
      </w:pPr>
      <w:r>
        <w:rPr>
          <w:rFonts w:ascii="Calibri" w:cs="Calibri" w:eastAsia="Calibri" w:hAnsi="Calibri"/>
          <w:b w:val="false"/>
          <w:bCs w:val="false"/>
          <w:i w:val="false"/>
          <w:iCs w:val="false"/>
          <w:sz w:val="21"/>
          <w:szCs w:val="21"/>
        </w:rPr>
        <w:t xml:space="preserve">Buyer questions appear verbatim in quotes. Shortened only where a question breaks the layout, never paraphrased.</w:t>
      </w:r>
    </w:p>
    <w:p>
      <w:pPr>
        <w:pStyle w:val="ListParagraph"/>
        <w:numPr>
          <w:ilvl w:val="0"/>
          <w:numId w:val="2"/>
        </w:numPr>
        <w:spacing w:after="90"/>
      </w:pPr>
      <w:r>
        <w:rPr>
          <w:rFonts w:ascii="Calibri" w:cs="Calibri" w:eastAsia="Calibri" w:hAnsi="Calibri"/>
          <w:b w:val="false"/>
          <w:bCs w:val="false"/>
          <w:i w:val="false"/>
          <w:iCs w:val="false"/>
          <w:sz w:val="21"/>
          <w:szCs w:val="21"/>
        </w:rPr>
        <w:t xml:space="preserve">Client-identifying detail — named organizations, seat counts, specific prices, headcounts — is stripped before anything reaches a slide.</w:t>
      </w:r>
    </w:p>
    <w:p>
      <w:pPr>
        <w:pStyle w:val="ListParagraph"/>
        <w:numPr>
          <w:ilvl w:val="0"/>
          <w:numId w:val="2"/>
        </w:numPr>
        <w:spacing w:after="90"/>
      </w:pPr>
      <w:r>
        <w:rPr>
          <w:rFonts w:ascii="Calibri" w:cs="Calibri" w:eastAsia="Calibri" w:hAnsi="Calibri"/>
          <w:b w:val="false"/>
          <w:bCs w:val="false"/>
          <w:i w:val="false"/>
          <w:iCs w:val="false"/>
          <w:sz w:val="21"/>
          <w:szCs w:val="21"/>
        </w:rPr>
        <w:t xml:space="preserve">The Handling Note on the cost-offset slide is a governance marker, not decoration. It flags a section as internal-only.</w:t>
      </w:r>
    </w:p>
    <w:p>
      <w:pPr>
        <w:pStyle w:val="Heading1"/>
        <w:spacing w:after="160" w:before="360"/>
      </w:pPr>
      <w:r>
        <w:rPr>
          <w:rFonts w:ascii="Calibri" w:cs="Calibri" w:eastAsia="Calibri" w:hAnsi="Calibri"/>
          <w:b/>
          <w:bCs/>
          <w:color w:val="1F3864"/>
          <w:sz w:val="30"/>
          <w:szCs w:val="30"/>
        </w:rPr>
        <w:t xml:space="preserve">What is generated and what is not</w:t>
      </w:r>
    </w:p>
    <w:p>
      <w:pPr>
        <w:spacing w:after="140"/>
      </w:pPr>
      <w:r>
        <w:rPr>
          <w:rFonts w:ascii="Calibri" w:cs="Calibri" w:eastAsia="Calibri" w:hAnsi="Calibri"/>
          <w:i w:val="false"/>
          <w:iCs w:val="false"/>
          <w:sz w:val="21"/>
          <w:szCs w:val="21"/>
        </w:rPr>
        <w:t xml:space="preserve">Themes, questions, ratings and the supporting descriptions come from the analysis passes.</w:t>
      </w:r>
    </w:p>
    <w:p>
      <w:pPr>
        <w:spacing w:after="140"/>
      </w:pPr>
      <w:r>
        <w:rPr>
          <w:rFonts w:ascii="Calibri" w:cs="Calibri" w:eastAsia="Calibri" w:hAnsi="Calibri"/>
          <w:i w:val="false"/>
          <w:iCs w:val="false"/>
          <w:sz w:val="21"/>
          <w:szCs w:val="21"/>
        </w:rPr>
        <w:t xml:space="preserve">The titles, the kicker lines under them, and the “What this means for the session” panel are written by hand. Those have no supporting records behind them and are not covered by the rubric.</w:t>
      </w:r>
    </w:p>
    <w:p>
      <w:pPr>
        <w:pStyle w:val="Heading1"/>
        <w:spacing w:after="160" w:before="360"/>
      </w:pPr>
      <w:r>
        <w:rPr>
          <w:rFonts w:ascii="Calibri" w:cs="Calibri" w:eastAsia="Calibri" w:hAnsi="Calibri"/>
          <w:b/>
          <w:bCs/>
          <w:color w:val="1F3864"/>
          <w:sz w:val="30"/>
          <w:szCs w:val="30"/>
        </w:rPr>
        <w:t xml:space="preserve">Known issues, included on purpose</w:t>
      </w:r>
    </w:p>
    <w:p>
      <w:pPr>
        <w:spacing w:after="140"/>
      </w:pPr>
      <w:r>
        <w:rPr>
          <w:rFonts w:ascii="Calibri" w:cs="Calibri" w:eastAsia="Calibri" w:hAnsi="Calibri"/>
          <w:i w:val="false"/>
          <w:iCs w:val="false"/>
          <w:sz w:val="21"/>
          <w:szCs w:val="21"/>
        </w:rPr>
        <w:t xml:space="preserve">The agnostic OpenAI slide rates three themes Pervasive and three Significant, with nothing at Moderate or Niche. The two market slides spread across three tiers. The flat one is likely the model hedging toward the middle rather than a finding about the market.</w:t>
      </w:r>
    </w:p>
    <w:p>
      <w:pPr>
        <w:spacing w:after="140"/>
      </w:pPr>
      <w:r>
        <w:rPr>
          <w:rFonts w:ascii="Calibri" w:cs="Calibri" w:eastAsia="Calibri" w:hAnsi="Calibri"/>
          <w:i w:val="false"/>
          <w:iCs w:val="false"/>
          <w:sz w:val="21"/>
          <w:szCs w:val="21"/>
        </w:rPr>
        <w:t xml:space="preserve">Part 3 of Prompts.docx holds two validation prompts. Post-hoc checking on the ServiceNow project caught a figure that appeared nowhere in the corpus, several claims attributed to multiple buyers that came from one, and region and role claims on the deep-dive slides that the supporting records did not support. Those are the error classes an automated version needs to catch.</w:t>
      </w:r>
    </w:p>
    <w:p>
      <w:pPr>
        <w:pStyle w:val="Heading1"/>
        <w:spacing w:after="160" w:before="360"/>
      </w:pPr>
      <w:r>
        <w:rPr>
          <w:rFonts w:ascii="Calibri" w:cs="Calibri" w:eastAsia="Calibri" w:hAnsi="Calibri"/>
          <w:b/>
          <w:bCs/>
          <w:color w:val="1F3864"/>
          <w:sz w:val="30"/>
          <w:szCs w:val="30"/>
        </w:rPr>
        <w:t xml:space="preserve">Open question</w:t>
      </w:r>
    </w:p>
    <w:p>
      <w:pPr>
        <w:spacing w:after="140"/>
      </w:pPr>
      <w:r>
        <w:rPr>
          <w:rFonts w:ascii="Calibri" w:cs="Calibri" w:eastAsia="Calibri" w:hAnsi="Calibri"/>
          <w:i w:val="false"/>
          <w:iCs w:val="false"/>
          <w:sz w:val="21"/>
          <w:szCs w:val="21"/>
        </w:rPr>
        <w:t xml:space="preserve">These corpora contain unredacted client interaction narrative. Before this goes further: what is the position on this data sitting in a shared drive, and on sending it to a model through an API?</w:t>
      </w:r>
    </w:p>
    <w:p>
      <w:pPr>
        <w:spacing w:after="140"/>
      </w:pPr>
      <w:r>
        <w:rPr>
          <w:rFonts w:ascii="Calibri" w:cs="Calibri" w:eastAsia="Calibri" w:hAnsi="Calibri"/>
          <w:b/>
          <w:bCs/>
          <w:i w:val="false"/>
          <w:iCs w:val="false"/>
          <w:sz w:val="21"/>
          <w:szCs w:val="21"/>
        </w:rPr>
        <w:t xml:space="preserve">Zane — how was your access cleared, and did it come with restrictions on data type?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2026-08-17T14:28:12.351Z</dcterms:created>
  <dcterms:modified xsi:type="dcterms:W3CDTF">2026-08-17T14:28:12.379Z</dcterms:modified>
</cp:coreProperties>
</file>

<file path=docProps/custom.xml><?xml version="1.0" encoding="utf-8"?>
<Properties xmlns="http://schemas.openxmlformats.org/officeDocument/2006/custom-properties" xmlns:vt="http://schemas.openxmlformats.org/officeDocument/2006/docPropsVTypes"/>
</file>