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Buyer Voice Analysis</w:t>
      </w:r>
    </w:p>
    <w:p>
      <w:pPr>
        <w:spacing w:after="40"/>
      </w:pPr>
      <w:r>
        <w:rPr>
          <w:rFonts w:ascii="Calibri" w:cs="Calibri" w:eastAsia="Calibri" w:hAnsi="Calibri"/>
          <w:color w:val="595959"/>
          <w:sz w:val="24"/>
          <w:szCs w:val="24"/>
        </w:rPr>
        <w:t xml:space="preserve">Rating criteria</w:t>
      </w:r>
    </w:p>
    <w:p>
      <w:pPr>
        <w:spacing w:after="60"/>
      </w:pPr>
      <w:r>
        <w:rPr>
          <w:rFonts w:ascii="Calibri" w:cs="Calibri" w:eastAsia="Calibri" w:hAnsi="Calibri"/>
          <w:color w:val="595959"/>
          <w:sz w:val="20"/>
          <w:szCs w:val="20"/>
        </w:rPr>
        <w:t xml:space="preserve">Prepared for Zane West  ·  Nick DiLorenzo  ·  August 2026</w:t>
      </w:r>
    </w:p>
    <w:p>
      <w:pPr>
        <w:pBdr>
          <w:bottom w:val="single" w:color="D0D0D0" w:sz="6" w:space="1"/>
        </w:pBdr>
        <w:spacing w:after="200" w:before="120"/>
      </w:pPr>
      <w:r>
        <w:rPr>
          <w:sz w:val="2"/>
          <w:szCs w:val="2"/>
        </w:rPr>
        <w:t xml:space="preserve"/>
      </w:r>
    </w:p>
    <w:p>
      <w:pPr>
        <w:pStyle w:val="Heading1"/>
        <w:spacing w:after="150" w:before="380"/>
      </w:pPr>
      <w:r>
        <w:rPr>
          <w:rFonts w:ascii="Calibri" w:cs="Calibri" w:eastAsia="Calibri" w:hAnsi="Calibri"/>
          <w:b/>
          <w:bCs/>
          <w:color w:val="1F3864"/>
          <w:sz w:val="30"/>
          <w:szCs w:val="30"/>
        </w:rPr>
        <w:t xml:space="preserve">What this covers</w:t>
      </w:r>
    </w:p>
    <w:p>
      <w:pPr>
        <w:spacing w:after="140"/>
      </w:pPr>
      <w:r>
        <w:rPr>
          <w:rFonts w:ascii="Calibri" w:cs="Calibri" w:eastAsia="Calibri" w:hAnsi="Calibri"/>
          <w:i w:val="false"/>
          <w:iCs w:val="false"/>
          <w:sz w:val="21"/>
          <w:szCs w:val="21"/>
        </w:rPr>
        <w:t xml:space="preserve">The criteria applied to a theme once it has been identified. Theme identification is a separate, open-ended step and is deliberately not governed by these rules — constraining discovery to a fixed list of themes would prevent the analysis from surfacing anything unexpected, which is most of its value.</w:t>
      </w:r>
    </w:p>
    <w:p>
      <w:pPr>
        <w:spacing w:after="140"/>
      </w:pPr>
      <w:r>
        <w:rPr>
          <w:rFonts w:ascii="Calibri" w:cs="Calibri" w:eastAsia="Calibri" w:hAnsi="Calibri"/>
          <w:i w:val="false"/>
          <w:iCs w:val="false"/>
          <w:sz w:val="21"/>
          <w:szCs w:val="21"/>
        </w:rPr>
        <w:t xml:space="preserve">So the process has two stages. Discovery is generative and runs without a target list. Rating is fixed and applies the criteria below. They must not be collapsed into one step.</w:t>
      </w:r>
    </w:p>
    <w:p>
      <w:pPr>
        <w:pStyle w:val="Heading2"/>
        <w:spacing w:after="110" w:before="280"/>
      </w:pPr>
      <w:r>
        <w:rPr>
          <w:rFonts w:ascii="Calibri" w:cs="Calibri" w:eastAsia="Calibri" w:hAnsi="Calibri"/>
          <w:b/>
          <w:bCs/>
          <w:color w:val="1F3864"/>
          <w:sz w:val="24"/>
          <w:szCs w:val="24"/>
        </w:rPr>
        <w:t xml:space="preserve">Reading the provenance marks</w:t>
      </w:r>
    </w:p>
    <w:p>
      <w:pPr>
        <w:spacing w:after="140"/>
      </w:pPr>
      <w:r>
        <w:rPr>
          <w:rFonts w:ascii="Calibri" w:cs="Calibri" w:eastAsia="Calibri" w:hAnsi="Calibri"/>
          <w:i w:val="false"/>
          <w:iCs w:val="false"/>
          <w:sz w:val="21"/>
          <w:szCs w:val="21"/>
        </w:rPr>
        <w:t xml:space="preserve">Each section is marked with how settled it is. Established practice has been applied across multiple shipped projects and should be treated as a requirement. New decision was agreed in August 2026 while preparing this document and has not yet run on a live project — those are the ones worth arguing about.</w:t>
      </w:r>
    </w:p>
    <w:p>
      <w:pPr>
        <w:pStyle w:val="Heading1"/>
        <w:spacing w:after="150" w:before="380"/>
      </w:pPr>
      <w:r>
        <w:rPr>
          <w:rFonts w:ascii="Calibri" w:cs="Calibri" w:eastAsia="Calibri" w:hAnsi="Calibri"/>
          <w:b/>
          <w:bCs/>
          <w:color w:val="1F3864"/>
          <w:sz w:val="30"/>
          <w:szCs w:val="30"/>
        </w:rPr>
        <w:t xml:space="preserve">Two modes of scoping</w:t>
      </w:r>
    </w:p>
    <w:p>
      <w:pPr>
        <w:spacing w:after="130"/>
      </w:pPr>
      <w:r>
        <w:rPr>
          <w:rFonts w:ascii="Calibri" w:cs="Calibri" w:eastAsia="Calibri" w:hAnsi="Calibri"/>
          <w:b/>
          <w:bCs/>
          <w:caps w:val="false"/>
          <w:color w:val="595959"/>
          <w:sz w:val="17"/>
          <w:szCs w:val="17"/>
        </w:rPr>
        <w:t xml:space="preserve">ESTABLISHED PRACTICE — in use across prior projects</w:t>
      </w:r>
    </w:p>
    <w:p>
      <w:pPr>
        <w:spacing w:after="140"/>
      </w:pPr>
      <w:r>
        <w:rPr>
          <w:rFonts w:ascii="Calibri" w:cs="Calibri" w:eastAsia="Calibri" w:hAnsi="Calibri"/>
          <w:i w:val="false"/>
          <w:iCs w:val="false"/>
          <w:sz w:val="21"/>
          <w:szCs w:val="21"/>
        </w:rPr>
        <w:t xml:space="preserve">Both appear in the sample package and the schema needs to support each.</w:t>
      </w:r>
    </w:p>
    <w:p>
      <w:pPr>
        <w:spacing w:after="140"/>
      </w:pPr>
      <w:r>
        <w:rPr>
          <w:rFonts w:ascii="Calibri" w:cs="Calibri" w:eastAsia="Calibri" w:hAnsi="Calibri"/>
          <w:b/>
          <w:bCs/>
          <w:i w:val="false"/>
          <w:iCs w:val="false"/>
          <w:sz w:val="21"/>
          <w:szCs w:val="21"/>
        </w:rPr>
        <w:t xml:space="preserve">Discovered. </w:t>
      </w:r>
      <w:r>
        <w:rPr>
          <w:rFonts w:ascii="Calibri" w:cs="Calibri" w:eastAsia="Calibri" w:hAnsi="Calibri"/>
          <w:b w:val="false"/>
          <w:bCs w:val="false"/>
          <w:i w:val="false"/>
          <w:iCs w:val="false"/>
          <w:sz w:val="21"/>
          <w:szCs w:val="21"/>
        </w:rPr>
        <w:t xml:space="preserve">Themes emerge from the corpus. The OpenAI slides work this way.</w:t>
      </w:r>
    </w:p>
    <w:p>
      <w:pPr>
        <w:spacing w:after="140"/>
      </w:pPr>
      <w:r>
        <w:rPr>
          <w:rFonts w:ascii="Calibri" w:cs="Calibri" w:eastAsia="Calibri" w:hAnsi="Calibri"/>
          <w:b/>
          <w:bCs/>
          <w:i w:val="false"/>
          <w:iCs w:val="false"/>
          <w:sz w:val="21"/>
          <w:szCs w:val="21"/>
        </w:rPr>
        <w:t xml:space="preserve">Categories supplied. </w:t>
      </w:r>
      <w:r>
        <w:rPr>
          <w:rFonts w:ascii="Calibri" w:cs="Calibri" w:eastAsia="Calibri" w:hAnsi="Calibri"/>
          <w:b w:val="false"/>
          <w:bCs w:val="false"/>
          <w:i w:val="false"/>
          <w:iCs w:val="false"/>
          <w:sz w:val="21"/>
          <w:szCs w:val="21"/>
        </w:rPr>
        <w:t xml:space="preserve">Top-level categories are given by the client or the requesting team, and themes are found within them. The ServiceNow slides work this way — the five commercial-friction areas were named in the request.</w:t>
      </w:r>
    </w:p>
    <w:p>
      <w:pPr>
        <w:spacing w:after="140"/>
      </w:pPr>
      <w:r>
        <w:rPr>
          <w:rFonts w:ascii="Calibri" w:cs="Calibri" w:eastAsia="Calibri" w:hAnsi="Calibri"/>
          <w:i w:val="false"/>
          <w:iCs w:val="false"/>
          <w:sz w:val="21"/>
          <w:szCs w:val="21"/>
        </w:rPr>
        <w:t xml:space="preserve">In supplied mode, discovery still runs unconstrained first. Themes falling outside the supplied categories are reported separately rather than discarded; on the ServiceNow project those became the appendix.</w:t>
      </w:r>
    </w:p>
    <w:p>
      <w:pPr>
        <w:pStyle w:val="Heading1"/>
        <w:spacing w:after="150" w:before="380"/>
      </w:pPr>
      <w:r>
        <w:rPr>
          <w:rFonts w:ascii="Calibri" w:cs="Calibri" w:eastAsia="Calibri" w:hAnsi="Calibri"/>
          <w:b/>
          <w:bCs/>
          <w:color w:val="1F3864"/>
          <w:sz w:val="30"/>
          <w:szCs w:val="30"/>
        </w:rPr>
        <w:t xml:space="preserve">Evidence and voice</w:t>
      </w:r>
    </w:p>
    <w:p>
      <w:pPr>
        <w:spacing w:after="130"/>
      </w:pPr>
      <w:r>
        <w:rPr>
          <w:rFonts w:ascii="Calibri" w:cs="Calibri" w:eastAsia="Calibri" w:hAnsi="Calibri"/>
          <w:b/>
          <w:bCs/>
          <w:caps w:val="false"/>
          <w:color w:val="595959"/>
          <w:sz w:val="17"/>
          <w:szCs w:val="17"/>
        </w:rPr>
        <w:t xml:space="preserve">ESTABLISHED PRACTICE — in use across prior projects</w:t>
      </w:r>
    </w:p>
    <w:p>
      <w:pPr>
        <w:spacing w:after="140"/>
      </w:pPr>
      <w:r>
        <w:rPr>
          <w:rFonts w:ascii="Calibri" w:cs="Calibri" w:eastAsia="Calibri" w:hAnsi="Calibri"/>
          <w:i w:val="false"/>
          <w:iCs w:val="false"/>
          <w:sz w:val="21"/>
          <w:szCs w:val="21"/>
        </w:rPr>
        <w:t xml:space="preserve">Interaction records carry several text fields. Two matter for rating, and they are not equivalent.</w:t>
      </w:r>
    </w:p>
    <w:p>
      <w:pPr>
        <w:spacing w:after="140"/>
      </w:pPr>
      <w:r>
        <w:rPr>
          <w:rFonts w:ascii="Calibri" w:cs="Calibri" w:eastAsia="Calibri" w:hAnsi="Calibri"/>
          <w:b/>
          <w:bCs/>
          <w:i w:val="false"/>
          <w:iCs w:val="false"/>
          <w:sz w:val="21"/>
          <w:szCs w:val="21"/>
        </w:rPr>
        <w:t xml:space="preserve">Question Asked </w:t>
      </w:r>
      <w:r>
        <w:rPr>
          <w:rFonts w:ascii="Calibri" w:cs="Calibri" w:eastAsia="Calibri" w:hAnsi="Calibri"/>
          <w:b w:val="false"/>
          <w:bCs w:val="false"/>
          <w:i w:val="false"/>
          <w:iCs w:val="false"/>
          <w:sz w:val="21"/>
          <w:szCs w:val="21"/>
        </w:rPr>
        <w:t xml:space="preserve">is the buyer’s own framing, typed by or for the buyer. It is buyer voice without qualification.</w:t>
      </w:r>
    </w:p>
    <w:p>
      <w:pPr>
        <w:spacing w:after="140"/>
      </w:pPr>
      <w:r>
        <w:rPr>
          <w:rFonts w:ascii="Calibri" w:cs="Calibri" w:eastAsia="Calibri" w:hAnsi="Calibri"/>
          <w:b/>
          <w:bCs/>
          <w:i w:val="false"/>
          <w:iCs w:val="false"/>
          <w:sz w:val="21"/>
          <w:szCs w:val="21"/>
        </w:rPr>
        <w:t xml:space="preserve">Discussion Summary </w:t>
      </w:r>
      <w:r>
        <w:rPr>
          <w:rFonts w:ascii="Calibri" w:cs="Calibri" w:eastAsia="Calibri" w:hAnsi="Calibri"/>
          <w:b w:val="false"/>
          <w:bCs w:val="false"/>
          <w:i w:val="false"/>
          <w:iCs w:val="false"/>
          <w:sz w:val="21"/>
          <w:szCs w:val="21"/>
        </w:rPr>
        <w:t xml:space="preserve">is written after the fact and is increasingly AI-generated. It is the richer field — it captures things said aloud that never reached the typed question — and it must be used. But it mixes buyer statements with analyst commentary, so attribution has to be established before anything from it is presented as buyer voice.</w:t>
      </w:r>
    </w:p>
    <w:p>
      <w:pPr>
        <w:spacing w:after="140"/>
      </w:pPr>
      <w:r>
        <w:rPr>
          <w:rFonts w:ascii="Calibri" w:cs="Calibri" w:eastAsia="Calibri" w:hAnsi="Calibri"/>
          <w:i w:val="false"/>
          <w:iCs w:val="false"/>
          <w:sz w:val="21"/>
          <w:szCs w:val="21"/>
        </w:rPr>
        <w:t xml:space="preserve">Every finding carries a source tag: Question Asked, Discussion Summary, or Both. Where a finding rests on Discussion Summary, it also carries whether the underlying statement is buyer-raised or attribution-uncertain.</w:t>
      </w:r>
    </w:p>
    <w:p>
      <w:pPr>
        <w:spacing w:after="140"/>
      </w:pPr>
      <w:r>
        <w:rPr>
          <w:rFonts w:ascii="Calibri" w:cs="Calibri" w:eastAsia="Calibri" w:hAnsi="Calibri"/>
          <w:b/>
          <w:bCs/>
          <w:i w:val="false"/>
          <w:iCs w:val="false"/>
          <w:sz w:val="21"/>
          <w:szCs w:val="21"/>
        </w:rPr>
        <w:t xml:space="preserve">Analyst voice is not buyer voice. </w:t>
      </w:r>
      <w:r>
        <w:rPr>
          <w:rFonts w:ascii="Calibri" w:cs="Calibri" w:eastAsia="Calibri" w:hAnsi="Calibri"/>
          <w:b w:val="false"/>
          <w:bCs w:val="false"/>
          <w:i w:val="false"/>
          <w:iCs w:val="false"/>
          <w:sz w:val="21"/>
          <w:szCs w:val="21"/>
        </w:rPr>
        <w:t xml:space="preserve">Gartner recommendations, market statistics and analyst reads are valuable but belong in a labeled section, never mixed into buyer-voice findings. This has leaked repeatedly in past runs and is worth an explicit check.</w:t>
      </w:r>
    </w:p>
    <w:p>
      <w:pPr>
        <w:pStyle w:val="Heading1"/>
        <w:spacing w:after="150" w:before="380"/>
      </w:pPr>
      <w:r>
        <w:rPr>
          <w:rFonts w:ascii="Calibri" w:cs="Calibri" w:eastAsia="Calibri" w:hAnsi="Calibri"/>
          <w:b/>
          <w:bCs/>
          <w:color w:val="1F3864"/>
          <w:sz w:val="30"/>
          <w:szCs w:val="30"/>
        </w:rPr>
        <w:t xml:space="preserve">Spread</w:t>
      </w:r>
    </w:p>
    <w:p>
      <w:pPr>
        <w:spacing w:after="130"/>
      </w:pPr>
      <w:r>
        <w:rPr>
          <w:rFonts w:ascii="Calibri" w:cs="Calibri" w:eastAsia="Calibri" w:hAnsi="Calibri"/>
          <w:b/>
          <w:bCs/>
          <w:caps w:val="false"/>
          <w:color w:val="595959"/>
          <w:sz w:val="17"/>
          <w:szCs w:val="17"/>
        </w:rPr>
        <w:t xml:space="preserve">ESTABLISHED PRACTICE — in use across prior projects</w:t>
      </w:r>
    </w:p>
    <w:p>
      <w:pPr>
        <w:spacing w:after="140"/>
      </w:pPr>
      <w:r>
        <w:rPr>
          <w:rFonts w:ascii="Calibri" w:cs="Calibri" w:eastAsia="Calibri" w:hAnsi="Calibri"/>
          <w:i w:val="false"/>
          <w:iCs w:val="false"/>
          <w:sz w:val="21"/>
          <w:szCs w:val="21"/>
        </w:rPr>
        <w:t xml:space="preserve">How consistently a concern recurs and how broadly it spans buyer roles, sectors and regions. Conjunctive — frequency alone or breadth alone does not reach the top of the scale.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6800"/>
      </w:tblGrid>
      <w:tr>
        <w:trPr>
          <w:cantSplit/>
          <w:tblHeader/>
        </w:trPr>
        <w:tc>
          <w:tcPr>
            <w:tcW w:type="dxa" w:w="1700"/>
            <w:shd w:fill="1F3864"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Value</w:t>
            </w:r>
          </w:p>
        </w:tc>
        <w:tc>
          <w:tcPr>
            <w:tcW w:type="dxa" w:w="6800"/>
            <w:shd w:fill="1F3864"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Meaning</w:t>
            </w:r>
          </w:p>
        </w:tc>
      </w:tr>
      <w:tr>
        <w:trPr>
          <w:cantSplit/>
          <w:tblHeader w:val="false"/>
        </w:trPr>
        <w:tc>
          <w:tcPr>
            <w:tcW w:type="dxa" w:w="1700"/>
            <w:tcMar>
              <w:top w:type="dxa" w:w="90"/>
              <w:left w:type="dxa" w:w="130"/>
              <w:bottom w:type="dxa" w:w="90"/>
              <w:right w:type="dxa" w:w="130"/>
            </w:tcMar>
          </w:tcPr>
          <w:p>
            <w:pPr>
              <w:spacing w:after="0"/>
            </w:pPr>
            <w:r>
              <w:rPr>
                <w:rFonts w:ascii="Calibri" w:cs="Calibri" w:eastAsia="Calibri" w:hAnsi="Calibri"/>
                <w:b/>
                <w:bCs/>
                <w:sz w:val="19"/>
                <w:szCs w:val="19"/>
              </w:rPr>
              <w:t xml:space="preserve">Pervasive</w:t>
            </w:r>
          </w:p>
        </w:tc>
        <w:tc>
          <w:tcPr>
            <w:tcW w:type="dxa" w:w="68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Surfaces across nearly all conversations in the set. Near-universal, cutting across buyer types and segments.</w:t>
            </w:r>
          </w:p>
        </w:tc>
      </w:tr>
      <w:tr>
        <w:trPr>
          <w:cantSplit/>
          <w:tblHeader w:val="false"/>
        </w:trPr>
        <w:tc>
          <w:tcPr>
            <w:tcW w:type="dxa" w:w="1700"/>
            <w:tcMar>
              <w:top w:type="dxa" w:w="90"/>
              <w:left w:type="dxa" w:w="130"/>
              <w:bottom w:type="dxa" w:w="90"/>
              <w:right w:type="dxa" w:w="130"/>
            </w:tcMar>
          </w:tcPr>
          <w:p>
            <w:pPr>
              <w:spacing w:after="0"/>
            </w:pPr>
            <w:r>
              <w:rPr>
                <w:rFonts w:ascii="Calibri" w:cs="Calibri" w:eastAsia="Calibri" w:hAnsi="Calibri"/>
                <w:b/>
                <w:bCs/>
                <w:sz w:val="19"/>
                <w:szCs w:val="19"/>
              </w:rPr>
              <w:t xml:space="preserve">Significant</w:t>
            </w:r>
          </w:p>
        </w:tc>
        <w:tc>
          <w:tcPr>
            <w:tcW w:type="dxa" w:w="68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Common and recurring across a large share of conversations. A clear pattern, but not universal.</w:t>
            </w:r>
          </w:p>
        </w:tc>
      </w:tr>
      <w:tr>
        <w:trPr>
          <w:cantSplit/>
          <w:tblHeader w:val="false"/>
        </w:trPr>
        <w:tc>
          <w:tcPr>
            <w:tcW w:type="dxa" w:w="1700"/>
            <w:tcMar>
              <w:top w:type="dxa" w:w="90"/>
              <w:left w:type="dxa" w:w="130"/>
              <w:bottom w:type="dxa" w:w="90"/>
              <w:right w:type="dxa" w:w="130"/>
            </w:tcMar>
          </w:tcPr>
          <w:p>
            <w:pPr>
              <w:spacing w:after="0"/>
            </w:pPr>
            <w:r>
              <w:rPr>
                <w:rFonts w:ascii="Calibri" w:cs="Calibri" w:eastAsia="Calibri" w:hAnsi="Calibri"/>
                <w:b/>
                <w:bCs/>
                <w:sz w:val="19"/>
                <w:szCs w:val="19"/>
              </w:rPr>
              <w:t xml:space="preserve">Moderate</w:t>
            </w:r>
          </w:p>
        </w:tc>
        <w:tc>
          <w:tcPr>
            <w:tcW w:type="dxa" w:w="68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Present in a meaningful minority. Real and repeated, but concentrated in certain buyer types or use cases.</w:t>
            </w:r>
          </w:p>
        </w:tc>
      </w:tr>
      <w:tr>
        <w:trPr>
          <w:cantSplit/>
          <w:tblHeader w:val="false"/>
        </w:trPr>
        <w:tc>
          <w:tcPr>
            <w:tcW w:type="dxa" w:w="1700"/>
            <w:tcMar>
              <w:top w:type="dxa" w:w="90"/>
              <w:left w:type="dxa" w:w="130"/>
              <w:bottom w:type="dxa" w:w="90"/>
              <w:right w:type="dxa" w:w="130"/>
            </w:tcMar>
          </w:tcPr>
          <w:p>
            <w:pPr>
              <w:spacing w:after="0"/>
            </w:pPr>
            <w:r>
              <w:rPr>
                <w:rFonts w:ascii="Calibri" w:cs="Calibri" w:eastAsia="Calibri" w:hAnsi="Calibri"/>
                <w:b/>
                <w:bCs/>
                <w:sz w:val="19"/>
                <w:szCs w:val="19"/>
              </w:rPr>
              <w:t xml:space="preserve">Niche</w:t>
            </w:r>
          </w:p>
        </w:tc>
        <w:tc>
          <w:tcPr>
            <w:tcW w:type="dxa" w:w="68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Appears in a small number of conversations. Specific to particular buyers, sub-segments or use cases.</w:t>
            </w:r>
          </w:p>
        </w:tc>
      </w:tr>
    </w:tbl>
    <w:p>
      <w:pPr>
        <w:spacing w:after="160"/>
      </w:pPr>
      <w:r>
        <w:rPr>
          <w:sz w:val="12"/>
          <w:szCs w:val="12"/>
        </w:rPr>
        <w:t xml:space="preserve"/>
      </w:r>
    </w:p>
    <w:p>
      <w:pPr>
        <w:pStyle w:val="Heading2"/>
        <w:spacing w:after="110" w:before="280"/>
      </w:pPr>
      <w:r>
        <w:rPr>
          <w:rFonts w:ascii="Calibri" w:cs="Calibri" w:eastAsia="Calibri" w:hAnsi="Calibri"/>
          <w:b/>
          <w:bCs/>
          <w:color w:val="1F3864"/>
          <w:sz w:val="24"/>
          <w:szCs w:val="24"/>
        </w:rPr>
        <w:t xml:space="preserve">No numeric thresholds</w:t>
      </w:r>
    </w:p>
    <w:p>
      <w:pPr>
        <w:spacing w:after="140"/>
      </w:pPr>
      <w:r>
        <w:rPr>
          <w:rFonts w:ascii="Calibri" w:cs="Calibri" w:eastAsia="Calibri" w:hAnsi="Calibri"/>
          <w:i w:val="false"/>
          <w:iCs w:val="false"/>
          <w:sz w:val="21"/>
          <w:szCs w:val="21"/>
        </w:rPr>
        <w:t xml:space="preserve">Percentage cutoffs and count bands are deliberately undefined. The scorer must not infer its own. Counts inform the judgment but never appear in output.</w:t>
      </w:r>
    </w:p>
    <w:p>
      <w:pPr>
        <w:spacing w:after="140"/>
      </w:pPr>
      <w:r>
        <w:rPr>
          <w:rFonts w:ascii="Calibri" w:cs="Calibri" w:eastAsia="Calibri" w:hAnsi="Calibri"/>
          <w:i w:val="false"/>
          <w:iCs w:val="false"/>
          <w:sz w:val="21"/>
          <w:szCs w:val="21"/>
        </w:rPr>
        <w:t xml:space="preserve">This is a deliberate omission rather than an oversight, and it is provisional: once enough runs exist to read thresholds off real distributions, bands may be defined from that evidence.</w:t>
      </w:r>
    </w:p>
    <w:p>
      <w:pPr>
        <w:pStyle w:val="Heading2"/>
        <w:spacing w:after="110" w:before="280"/>
      </w:pPr>
      <w:r>
        <w:rPr>
          <w:rFonts w:ascii="Calibri" w:cs="Calibri" w:eastAsia="Calibri" w:hAnsi="Calibri"/>
          <w:b/>
          <w:bCs/>
          <w:color w:val="1F3864"/>
          <w:sz w:val="24"/>
          <w:szCs w:val="24"/>
        </w:rPr>
        <w:t xml:space="preserve">What Spread is measured against</w:t>
      </w:r>
    </w:p>
    <w:p>
      <w:pPr>
        <w:spacing w:after="130"/>
      </w:pPr>
      <w:r>
        <w:rPr>
          <w:rFonts w:ascii="Calibri" w:cs="Calibri" w:eastAsia="Calibri" w:hAnsi="Calibri"/>
          <w:b/>
          <w:bCs/>
          <w:caps w:val="false"/>
          <w:color w:val="9C3D00"/>
          <w:sz w:val="17"/>
          <w:szCs w:val="17"/>
        </w:rPr>
        <w:t xml:space="preserve">NEW DECISION — August 2026, not yet used on a shipped project</w:t>
      </w:r>
    </w:p>
    <w:p>
      <w:pPr>
        <w:spacing w:after="140"/>
      </w:pPr>
      <w:r>
        <w:rPr>
          <w:rFonts w:ascii="Calibri" w:cs="Calibri" w:eastAsia="Calibri" w:hAnsi="Calibri"/>
          <w:i w:val="false"/>
          <w:iCs w:val="false"/>
          <w:sz w:val="21"/>
          <w:szCs w:val="21"/>
        </w:rPr>
        <w:t xml:space="preserve">Spread is assessed against the qualifying records in the cut being analysed, not against the full corpus. The qualifying set is therefore an explicit input to the rating step.</w:t>
      </w:r>
    </w:p>
    <w:p>
      <w:pPr>
        <w:spacing w:after="140"/>
      </w:pPr>
      <w:r>
        <w:rPr>
          <w:rFonts w:ascii="Calibri" w:cs="Calibri" w:eastAsia="Calibri" w:hAnsi="Calibri"/>
          <w:i w:val="false"/>
          <w:iCs w:val="false"/>
          <w:sz w:val="21"/>
          <w:szCs w:val="21"/>
        </w:rPr>
        <w:t xml:space="preserve">This matters because cuts differ in size by an order of magnitude. In the sample package, Enterprise AI Assistants qualified 124 records and Enterprise AI Coding Agents qualified 32. The same label on those two slides represents very different absolute volumes, and nothing in the output signals it.</w:t>
      </w:r>
    </w:p>
    <w:p>
      <w:pPr>
        <w:pStyle w:val="Heading1"/>
        <w:spacing w:after="150" w:before="380"/>
      </w:pPr>
      <w:r>
        <w:rPr>
          <w:rFonts w:ascii="Calibri" w:cs="Calibri" w:eastAsia="Calibri" w:hAnsi="Calibri"/>
          <w:b/>
          <w:bCs/>
          <w:color w:val="1F3864"/>
          <w:sz w:val="30"/>
          <w:szCs w:val="30"/>
        </w:rPr>
        <w:t xml:space="preserve">Trajectory</w:t>
      </w:r>
    </w:p>
    <w:p>
      <w:pPr>
        <w:spacing w:after="130"/>
      </w:pPr>
      <w:r>
        <w:rPr>
          <w:rFonts w:ascii="Calibri" w:cs="Calibri" w:eastAsia="Calibri" w:hAnsi="Calibri"/>
          <w:b/>
          <w:bCs/>
          <w:caps w:val="false"/>
          <w:color w:val="595959"/>
          <w:sz w:val="17"/>
          <w:szCs w:val="17"/>
        </w:rPr>
        <w:t xml:space="preserve">ESTABLISHED PRACTICE — in use across prior projects</w:t>
      </w:r>
    </w:p>
    <w:p>
      <w:pPr>
        <w:spacing w:after="140"/>
      </w:pPr>
      <w:r>
        <w:rPr>
          <w:rFonts w:ascii="Calibri" w:cs="Calibri" w:eastAsia="Calibri" w:hAnsi="Calibri"/>
          <w:i w:val="false"/>
          <w:iCs w:val="false"/>
          <w:sz w:val="21"/>
          <w:szCs w:val="21"/>
        </w:rPr>
        <w:t xml:space="preserve">Direction of a theme across two comparison windows. Four values, mutually exclusive.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6800"/>
      </w:tblGrid>
      <w:tr>
        <w:trPr>
          <w:cantSplit/>
          <w:tblHeader/>
        </w:trPr>
        <w:tc>
          <w:tcPr>
            <w:tcW w:type="dxa" w:w="1700"/>
            <w:shd w:fill="1F3864"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Value</w:t>
            </w:r>
          </w:p>
        </w:tc>
        <w:tc>
          <w:tcPr>
            <w:tcW w:type="dxa" w:w="6800"/>
            <w:shd w:fill="1F3864"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Meaning</w:t>
            </w:r>
          </w:p>
        </w:tc>
      </w:tr>
      <w:tr>
        <w:trPr>
          <w:cantSplit/>
          <w:tblHeader w:val="false"/>
        </w:trPr>
        <w:tc>
          <w:tcPr>
            <w:tcW w:type="dxa" w:w="1700"/>
            <w:tcMar>
              <w:top w:type="dxa" w:w="90"/>
              <w:left w:type="dxa" w:w="130"/>
              <w:bottom w:type="dxa" w:w="90"/>
              <w:right w:type="dxa" w:w="130"/>
            </w:tcMar>
          </w:tcPr>
          <w:p>
            <w:pPr>
              <w:spacing w:after="0"/>
            </w:pPr>
            <w:r>
              <w:rPr>
                <w:rFonts w:ascii="Calibri" w:cs="Calibri" w:eastAsia="Calibri" w:hAnsi="Calibri"/>
                <w:b/>
                <w:bCs/>
                <w:sz w:val="19"/>
                <w:szCs w:val="19"/>
              </w:rPr>
              <w:t xml:space="preserve">New</w:t>
            </w:r>
          </w:p>
        </w:tc>
        <w:tc>
          <w:tcPr>
            <w:tcW w:type="dxa" w:w="68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Absent or negligible in the earlier window, materially present in the recent one.</w:t>
            </w:r>
          </w:p>
        </w:tc>
      </w:tr>
      <w:tr>
        <w:trPr>
          <w:cantSplit/>
          <w:tblHeader w:val="false"/>
        </w:trPr>
        <w:tc>
          <w:tcPr>
            <w:tcW w:type="dxa" w:w="1700"/>
            <w:tcMar>
              <w:top w:type="dxa" w:w="90"/>
              <w:left w:type="dxa" w:w="130"/>
              <w:bottom w:type="dxa" w:w="90"/>
              <w:right w:type="dxa" w:w="130"/>
            </w:tcMar>
          </w:tcPr>
          <w:p>
            <w:pPr>
              <w:spacing w:after="0"/>
            </w:pPr>
            <w:r>
              <w:rPr>
                <w:rFonts w:ascii="Calibri" w:cs="Calibri" w:eastAsia="Calibri" w:hAnsi="Calibri"/>
                <w:b/>
                <w:bCs/>
                <w:sz w:val="19"/>
                <w:szCs w:val="19"/>
              </w:rPr>
              <w:t xml:space="preserve">Intensifying</w:t>
            </w:r>
          </w:p>
        </w:tc>
        <w:tc>
          <w:tcPr>
            <w:tcW w:type="dxa" w:w="68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Rising window over window.</w:t>
            </w:r>
          </w:p>
        </w:tc>
      </w:tr>
      <w:tr>
        <w:trPr>
          <w:cantSplit/>
          <w:tblHeader w:val="false"/>
        </w:trPr>
        <w:tc>
          <w:tcPr>
            <w:tcW w:type="dxa" w:w="1700"/>
            <w:tcMar>
              <w:top w:type="dxa" w:w="90"/>
              <w:left w:type="dxa" w:w="130"/>
              <w:bottom w:type="dxa" w:w="90"/>
              <w:right w:type="dxa" w:w="130"/>
            </w:tcMar>
          </w:tcPr>
          <w:p>
            <w:pPr>
              <w:spacing w:after="0"/>
            </w:pPr>
            <w:r>
              <w:rPr>
                <w:rFonts w:ascii="Calibri" w:cs="Calibri" w:eastAsia="Calibri" w:hAnsi="Calibri"/>
                <w:b/>
                <w:bCs/>
                <w:sz w:val="19"/>
                <w:szCs w:val="19"/>
              </w:rPr>
              <w:t xml:space="preserve">Stable</w:t>
            </w:r>
          </w:p>
        </w:tc>
        <w:tc>
          <w:tcPr>
            <w:tcW w:type="dxa" w:w="68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Present at comparable levels in both windows.</w:t>
            </w:r>
          </w:p>
        </w:tc>
      </w:tr>
      <w:tr>
        <w:trPr>
          <w:cantSplit/>
          <w:tblHeader w:val="false"/>
        </w:trPr>
        <w:tc>
          <w:tcPr>
            <w:tcW w:type="dxa" w:w="1700"/>
            <w:tcMar>
              <w:top w:type="dxa" w:w="90"/>
              <w:left w:type="dxa" w:w="130"/>
              <w:bottom w:type="dxa" w:w="90"/>
              <w:right w:type="dxa" w:w="130"/>
            </w:tcMar>
          </w:tcPr>
          <w:p>
            <w:pPr>
              <w:spacing w:after="0"/>
            </w:pPr>
            <w:r>
              <w:rPr>
                <w:rFonts w:ascii="Calibri" w:cs="Calibri" w:eastAsia="Calibri" w:hAnsi="Calibri"/>
                <w:b/>
                <w:bCs/>
                <w:sz w:val="19"/>
                <w:szCs w:val="19"/>
              </w:rPr>
              <w:t xml:space="preserve">Fading</w:t>
            </w:r>
          </w:p>
        </w:tc>
        <w:tc>
          <w:tcPr>
            <w:tcW w:type="dxa" w:w="6800"/>
            <w:tcMar>
              <w:top w:type="dxa" w:w="90"/>
              <w:left w:type="dxa" w:w="130"/>
              <w:bottom w:type="dxa" w:w="90"/>
              <w:right w:type="dxa" w:w="130"/>
            </w:tcMar>
          </w:tcPr>
          <w:p>
            <w:pPr>
              <w:spacing w:after="0"/>
            </w:pPr>
            <w:r>
              <w:rPr>
                <w:rFonts w:ascii="Calibri" w:cs="Calibri" w:eastAsia="Calibri" w:hAnsi="Calibri"/>
                <w:b w:val="false"/>
                <w:bCs w:val="false"/>
                <w:sz w:val="19"/>
                <w:szCs w:val="19"/>
              </w:rPr>
              <w:t xml:space="preserve">Declining window over window.</w:t>
            </w:r>
          </w:p>
        </w:tc>
      </w:tr>
    </w:tbl>
    <w:p>
      <w:pPr>
        <w:spacing w:after="160"/>
      </w:pPr>
      <w:r>
        <w:rPr>
          <w:sz w:val="12"/>
          <w:szCs w:val="12"/>
        </w:rPr>
        <w:t xml:space="preserve"/>
      </w:r>
    </w:p>
    <w:p>
      <w:pPr>
        <w:pStyle w:val="Heading2"/>
        <w:spacing w:after="110" w:before="280"/>
      </w:pPr>
      <w:r>
        <w:rPr>
          <w:rFonts w:ascii="Calibri" w:cs="Calibri" w:eastAsia="Calibri" w:hAnsi="Calibri"/>
          <w:b/>
          <w:bCs/>
          <w:color w:val="1F3864"/>
          <w:sz w:val="24"/>
          <w:szCs w:val="24"/>
        </w:rPr>
        <w:t xml:space="preserve">Volume gate</w:t>
      </w:r>
    </w:p>
    <w:p>
      <w:pPr>
        <w:spacing w:after="130"/>
      </w:pPr>
      <w:r>
        <w:rPr>
          <w:rFonts w:ascii="Calibri" w:cs="Calibri" w:eastAsia="Calibri" w:hAnsi="Calibri"/>
          <w:b/>
          <w:bCs/>
          <w:caps w:val="false"/>
          <w:color w:val="9C3D00"/>
          <w:sz w:val="17"/>
          <w:szCs w:val="17"/>
        </w:rPr>
        <w:t xml:space="preserve">NEW DECISION — August 2026, not yet used on a shipped project</w:t>
      </w:r>
    </w:p>
    <w:p>
      <w:pPr>
        <w:spacing w:after="140"/>
      </w:pPr>
      <w:r>
        <w:rPr>
          <w:rFonts w:ascii="Calibri" w:cs="Calibri" w:eastAsia="Calibri" w:hAnsi="Calibri"/>
          <w:i w:val="false"/>
          <w:iCs w:val="false"/>
          <w:sz w:val="21"/>
          <w:szCs w:val="21"/>
        </w:rPr>
        <w:t xml:space="preserve">A theme receives a trajectory rating only where both conditions hold: at least ten supporting records in each comparison window, and a Spread rating of at least Moderate.</w:t>
      </w:r>
    </w:p>
    <w:p>
      <w:pPr>
        <w:spacing w:after="140"/>
      </w:pPr>
      <w:r>
        <w:rPr>
          <w:rFonts w:ascii="Calibri" w:cs="Calibri" w:eastAsia="Calibri" w:hAnsi="Calibri"/>
          <w:i w:val="false"/>
          <w:iCs w:val="false"/>
          <w:sz w:val="21"/>
          <w:szCs w:val="21"/>
        </w:rPr>
        <w:t xml:space="preserve">Themes that do not clear both receive an em dash and an insufficient-volume note rather than a rating. Below roughly ten per window, a single interaction moving between windows shifts the proportion enough to change the direction, so the rating would report noise.</w:t>
      </w:r>
    </w:p>
    <w:p>
      <w:pPr>
        <w:spacing w:after="140"/>
      </w:pPr>
      <w:r>
        <w:rPr>
          <w:rFonts w:ascii="Calibri" w:cs="Calibri" w:eastAsia="Calibri" w:hAnsi="Calibri"/>
          <w:i w:val="false"/>
          <w:iCs w:val="false"/>
          <w:sz w:val="21"/>
          <w:szCs w:val="21"/>
        </w:rPr>
        <w:t xml:space="preserve">Accepted consequence: small corpora carry no trajectory at all, and are reported on Spread alone.</w:t>
      </w:r>
    </w:p>
    <w:p>
      <w:pPr>
        <w:pStyle w:val="Heading2"/>
        <w:spacing w:after="110" w:before="280"/>
      </w:pPr>
      <w:r>
        <w:rPr>
          <w:rFonts w:ascii="Calibri" w:cs="Calibri" w:eastAsia="Calibri" w:hAnsi="Calibri"/>
          <w:b/>
          <w:bCs/>
          <w:color w:val="1F3864"/>
          <w:sz w:val="24"/>
          <w:szCs w:val="24"/>
        </w:rPr>
        <w:t xml:space="preserve">Persistent</w:t>
      </w:r>
    </w:p>
    <w:p>
      <w:pPr>
        <w:spacing w:after="130"/>
      </w:pPr>
      <w:r>
        <w:rPr>
          <w:rFonts w:ascii="Calibri" w:cs="Calibri" w:eastAsia="Calibri" w:hAnsi="Calibri"/>
          <w:b/>
          <w:bCs/>
          <w:caps w:val="false"/>
          <w:color w:val="9C3D00"/>
          <w:sz w:val="17"/>
          <w:szCs w:val="17"/>
        </w:rPr>
        <w:t xml:space="preserve">NEW DECISION — August 2026, not yet used on a shipped project</w:t>
      </w:r>
    </w:p>
    <w:p>
      <w:pPr>
        <w:spacing w:after="140"/>
      </w:pPr>
      <w:r>
        <w:rPr>
          <w:rFonts w:ascii="Calibri" w:cs="Calibri" w:eastAsia="Calibri" w:hAnsi="Calibri"/>
          <w:i w:val="false"/>
          <w:iCs w:val="false"/>
          <w:sz w:val="21"/>
          <w:szCs w:val="21"/>
        </w:rPr>
        <w:t xml:space="preserve">A separate flag, not a trajectory value. Marks a theme as chronically unresolved and recurring regardless of direction. A theme can be Stable and Persistent, or Intensifying and Persistent.</w:t>
      </w:r>
    </w:p>
    <w:p>
      <w:pPr>
        <w:spacing w:after="140"/>
      </w:pPr>
      <w:r>
        <w:rPr>
          <w:rFonts w:ascii="Calibri" w:cs="Calibri" w:eastAsia="Calibri" w:hAnsi="Calibri"/>
          <w:i w:val="false"/>
          <w:iCs w:val="false"/>
          <w:sz w:val="21"/>
          <w:szCs w:val="21"/>
        </w:rPr>
        <w:t xml:space="preserve">It sat inside the trajectory scale in earlier work, which made it ambiguous against Stable. Separating it keeps the four direction values mutually exclusive.</w:t>
      </w:r>
    </w:p>
    <w:p>
      <w:pPr>
        <w:pStyle w:val="Heading1"/>
        <w:spacing w:after="150" w:before="380"/>
      </w:pPr>
      <w:r>
        <w:rPr>
          <w:rFonts w:ascii="Calibri" w:cs="Calibri" w:eastAsia="Calibri" w:hAnsi="Calibri"/>
          <w:b/>
          <w:bCs/>
          <w:color w:val="1F3864"/>
          <w:sz w:val="30"/>
          <w:szCs w:val="30"/>
        </w:rPr>
        <w:t xml:space="preserve">Optional: buyer sentiment</w:t>
      </w:r>
    </w:p>
    <w:p>
      <w:pPr>
        <w:spacing w:after="130"/>
      </w:pPr>
      <w:r>
        <w:rPr>
          <w:rFonts w:ascii="Calibri" w:cs="Calibri" w:eastAsia="Calibri" w:hAnsi="Calibri"/>
          <w:b/>
          <w:bCs/>
          <w:caps w:val="false"/>
          <w:color w:val="9C3D00"/>
          <w:sz w:val="17"/>
          <w:szCs w:val="17"/>
        </w:rPr>
        <w:t xml:space="preserve">NEW DECISION — August 2026, not yet used on a shipped project</w:t>
      </w:r>
    </w:p>
    <w:p>
      <w:pPr>
        <w:spacing w:after="140"/>
      </w:pPr>
      <w:r>
        <w:rPr>
          <w:rFonts w:ascii="Calibri" w:cs="Calibri" w:eastAsia="Calibri" w:hAnsi="Calibri"/>
          <w:i w:val="false"/>
          <w:iCs w:val="false"/>
          <w:sz w:val="21"/>
          <w:szCs w:val="21"/>
        </w:rPr>
        <w:t xml:space="preserve">Applied only when the analysis has a specific target for sentiment to attach to — a named vendor, product or commercial arrangement. Where buyers are discussing a market or a problem rather than a target, sentiment is not rated and the module does not run.</w:t>
      </w:r>
    </w:p>
    <w:p>
      <w:pPr>
        <w:spacing w:after="140"/>
      </w:pPr>
      <w:r>
        <w:rPr>
          <w:rFonts w:ascii="Calibri" w:cs="Calibri" w:eastAsia="Calibri" w:hAnsi="Calibri"/>
          <w:i w:val="false"/>
          <w:iCs w:val="false"/>
          <w:sz w:val="21"/>
          <w:szCs w:val="21"/>
        </w:rPr>
        <w:t xml:space="preserve">When it does run, sentiment is characterised in prose per theme: what buyers are positive about, what they are worried about, and how firmly. It is not scored on a fixed scale. Past analyses have treated sentiment as a section of the deliverable rather than an attribute of every theme, and that is the behaviour to preserve.</w:t>
      </w:r>
    </w:p>
    <w:p>
      <w:pPr>
        <w:pStyle w:val="Heading1"/>
        <w:spacing w:after="150" w:before="380"/>
      </w:pPr>
      <w:r>
        <w:rPr>
          <w:rFonts w:ascii="Calibri" w:cs="Calibri" w:eastAsia="Calibri" w:hAnsi="Calibri"/>
          <w:b/>
          <w:bCs/>
          <w:color w:val="1F3864"/>
          <w:sz w:val="30"/>
          <w:szCs w:val="30"/>
        </w:rPr>
        <w:t xml:space="preserve">Optional: competitive scenarios</w:t>
      </w:r>
    </w:p>
    <w:p>
      <w:pPr>
        <w:spacing w:after="130"/>
      </w:pPr>
      <w:r>
        <w:rPr>
          <w:rFonts w:ascii="Calibri" w:cs="Calibri" w:eastAsia="Calibri" w:hAnsi="Calibri"/>
          <w:b/>
          <w:bCs/>
          <w:caps w:val="false"/>
          <w:color w:val="9C3D00"/>
          <w:sz w:val="17"/>
          <w:szCs w:val="17"/>
        </w:rPr>
        <w:t xml:space="preserve">NEW DECISION — August 2026, not yet used on a shipped project</w:t>
      </w:r>
    </w:p>
    <w:p>
      <w:pPr>
        <w:spacing w:after="140"/>
      </w:pPr>
      <w:r>
        <w:rPr>
          <w:rFonts w:ascii="Calibri" w:cs="Calibri" w:eastAsia="Calibri" w:hAnsi="Calibri"/>
          <w:i w:val="false"/>
          <w:iCs w:val="false"/>
          <w:sz w:val="21"/>
          <w:szCs w:val="21"/>
        </w:rPr>
        <w:t xml:space="preserve">The commercial situation a theme sits inside — whether buyers are running a first evaluation, weighing a replacement, gathering comparison data to improve terms, shifting spend without leaving, or consolidating vendors.</w:t>
      </w:r>
    </w:p>
    <w:p>
      <w:pPr>
        <w:spacing w:after="140"/>
      </w:pPr>
      <w:r>
        <w:rPr>
          <w:rFonts w:ascii="Calibri" w:cs="Calibri" w:eastAsia="Calibri" w:hAnsi="Calibri"/>
          <w:i w:val="false"/>
          <w:iCs w:val="false"/>
          <w:sz w:val="21"/>
          <w:szCs w:val="21"/>
        </w:rPr>
        <w:t xml:space="preserve">There is no fixed taxonomy and one should not be introduced. Scenarios are named from the data on each project, the same way themes are, because the useful categories differ by market. A theme may sit inside more than one.</w:t>
      </w:r>
    </w:p>
    <w:p>
      <w:pPr>
        <w:pStyle w:val="Heading1"/>
        <w:spacing w:after="150" w:before="380"/>
      </w:pPr>
      <w:r>
        <w:rPr>
          <w:rFonts w:ascii="Calibri" w:cs="Calibri" w:eastAsia="Calibri" w:hAnsi="Calibri"/>
          <w:b/>
          <w:bCs/>
          <w:color w:val="1F3864"/>
          <w:sz w:val="30"/>
          <w:szCs w:val="30"/>
        </w:rPr>
        <w:t xml:space="preserve">Theme naming</w:t>
      </w:r>
    </w:p>
    <w:p>
      <w:pPr>
        <w:spacing w:after="130"/>
      </w:pPr>
      <w:r>
        <w:rPr>
          <w:rFonts w:ascii="Calibri" w:cs="Calibri" w:eastAsia="Calibri" w:hAnsi="Calibri"/>
          <w:b/>
          <w:bCs/>
          <w:caps w:val="false"/>
          <w:color w:val="595959"/>
          <w:sz w:val="17"/>
          <w:szCs w:val="17"/>
        </w:rPr>
        <w:t xml:space="preserve">ESTABLISHED PRACTICE — in use across prior projects</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Theme names use buyer language, not Gartner or vendor terminology. Invented phrasing has had to be rewritten on past runs.</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Where a theme recurs across periods, the name stays identical so movement can be traced.</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A theme absent from a period is marked Not Present rather than given a low rating.</w:t>
      </w:r>
    </w:p>
    <w:p>
      <w:pPr>
        <w:pStyle w:val="Heading1"/>
        <w:spacing w:after="150" w:before="380"/>
      </w:pPr>
      <w:r>
        <w:rPr>
          <w:rFonts w:ascii="Calibri" w:cs="Calibri" w:eastAsia="Calibri" w:hAnsi="Calibri"/>
          <w:b/>
          <w:bCs/>
          <w:color w:val="1F3864"/>
          <w:sz w:val="30"/>
          <w:szCs w:val="30"/>
        </w:rPr>
        <w:t xml:space="preserve">Evidence requirements</w:t>
      </w:r>
    </w:p>
    <w:p>
      <w:pPr>
        <w:spacing w:after="130"/>
      </w:pPr>
      <w:r>
        <w:rPr>
          <w:rFonts w:ascii="Calibri" w:cs="Calibri" w:eastAsia="Calibri" w:hAnsi="Calibri"/>
          <w:b/>
          <w:bCs/>
          <w:caps w:val="false"/>
          <w:color w:val="595959"/>
          <w:sz w:val="17"/>
          <w:szCs w:val="17"/>
        </w:rPr>
        <w:t xml:space="preserve">ESTABLISHED PRACTICE — in use across prior projects</w:t>
      </w:r>
    </w:p>
    <w:p>
      <w:pPr>
        <w:spacing w:after="140"/>
      </w:pPr>
      <w:r>
        <w:rPr>
          <w:rFonts w:ascii="Calibri" w:cs="Calibri" w:eastAsia="Calibri" w:hAnsi="Calibri"/>
          <w:i w:val="false"/>
          <w:iCs w:val="false"/>
          <w:sz w:val="21"/>
          <w:szCs w:val="21"/>
        </w:rPr>
        <w:t xml:space="preserve">These apply to every rating and every claim, and they are the reason the rating structure is worth automating at all.</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Each rating carries the interaction references that produced it, and at least one verbatim excerpt per reference. A rating without references is not a rating.</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Reference numbers are written out in full as plain text. A citation chip or source link does not satisfy this — past runs returned empty reference fields because of it.</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Every reference resolves to a record in the source export. Unresolved references surface as errors rather than being dropped silently.</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Buyer questions are reproduced verbatim. They may be shortened to fit a layout; they are never paraphrased.</w:t>
      </w:r>
    </w:p>
    <w:p>
      <w:pPr>
        <w:pStyle w:val="ListParagraph"/>
        <w:numPr>
          <w:ilvl w:val="0"/>
          <w:numId w:val="2"/>
        </w:numPr>
        <w:spacing w:after="90"/>
      </w:pPr>
      <w:r>
        <w:rPr>
          <w:rFonts w:ascii="Calibri" w:cs="Calibri" w:eastAsia="Calibri" w:hAnsi="Calibri"/>
          <w:b w:val="false"/>
          <w:bCs w:val="false"/>
          <w:i w:val="false"/>
          <w:iCs w:val="false"/>
          <w:sz w:val="21"/>
          <w:szCs w:val="21"/>
        </w:rPr>
        <w:t xml:space="preserve">Client-identifying detail — named organisations, seat counts, specific prices, headcounts — is removed before anything reaches a deliverable.</w:t>
      </w:r>
    </w:p>
    <w:p>
      <w:pPr>
        <w:pStyle w:val="Heading1"/>
        <w:spacing w:after="150" w:before="380"/>
      </w:pPr>
      <w:r>
        <w:rPr>
          <w:rFonts w:ascii="Calibri" w:cs="Calibri" w:eastAsia="Calibri" w:hAnsi="Calibri"/>
          <w:b/>
          <w:bCs/>
          <w:color w:val="1F3864"/>
          <w:sz w:val="30"/>
          <w:szCs w:val="30"/>
        </w:rPr>
        <w:t xml:space="preserve">Run-level checks</w:t>
      </w:r>
    </w:p>
    <w:p>
      <w:pPr>
        <w:pStyle w:val="Heading2"/>
        <w:spacing w:after="110" w:before="280"/>
      </w:pPr>
      <w:r>
        <w:rPr>
          <w:rFonts w:ascii="Calibri" w:cs="Calibri" w:eastAsia="Calibri" w:hAnsi="Calibri"/>
          <w:b/>
          <w:bCs/>
          <w:color w:val="1F3864"/>
          <w:sz w:val="24"/>
          <w:szCs w:val="24"/>
        </w:rPr>
        <w:t xml:space="preserve">Differentiation</w:t>
      </w:r>
    </w:p>
    <w:p>
      <w:pPr>
        <w:spacing w:after="130"/>
      </w:pPr>
      <w:r>
        <w:rPr>
          <w:rFonts w:ascii="Calibri" w:cs="Calibri" w:eastAsia="Calibri" w:hAnsi="Calibri"/>
          <w:b/>
          <w:bCs/>
          <w:caps w:val="false"/>
          <w:color w:val="595959"/>
          <w:sz w:val="17"/>
          <w:szCs w:val="17"/>
        </w:rPr>
        <w:t xml:space="preserve">ESTABLISHED PRACTICE — in use across prior projects</w:t>
      </w:r>
    </w:p>
    <w:p>
      <w:pPr>
        <w:spacing w:after="140"/>
      </w:pPr>
      <w:r>
        <w:rPr>
          <w:rFonts w:ascii="Calibri" w:cs="Calibri" w:eastAsia="Calibri" w:hAnsi="Calibri"/>
          <w:i w:val="false"/>
          <w:iCs w:val="false"/>
          <w:sz w:val="21"/>
          <w:szCs w:val="21"/>
        </w:rPr>
        <w:t xml:space="preserve">The scorer must not default to the middle of the scale. Themes are differentiated: where a theme is Pervasive, say so; where it is Niche, say so.</w:t>
      </w:r>
    </w:p>
    <w:p>
      <w:pPr>
        <w:pStyle w:val="Heading2"/>
        <w:spacing w:after="110" w:before="280"/>
      </w:pPr>
      <w:r>
        <w:rPr>
          <w:rFonts w:ascii="Calibri" w:cs="Calibri" w:eastAsia="Calibri" w:hAnsi="Calibri"/>
          <w:b/>
          <w:bCs/>
          <w:color w:val="1F3864"/>
          <w:sz w:val="24"/>
          <w:szCs w:val="24"/>
        </w:rPr>
        <w:t xml:space="preserve">Distribution check</w:t>
      </w:r>
    </w:p>
    <w:p>
      <w:pPr>
        <w:spacing w:after="130"/>
      </w:pPr>
      <w:r>
        <w:rPr>
          <w:rFonts w:ascii="Calibri" w:cs="Calibri" w:eastAsia="Calibri" w:hAnsi="Calibri"/>
          <w:b/>
          <w:bCs/>
          <w:caps w:val="false"/>
          <w:color w:val="9C3D00"/>
          <w:sz w:val="17"/>
          <w:szCs w:val="17"/>
        </w:rPr>
        <w:t xml:space="preserve">NEW DECISION — August 2026, not yet used on a shipped project</w:t>
      </w:r>
    </w:p>
    <w:p>
      <w:pPr>
        <w:spacing w:after="140"/>
      </w:pPr>
      <w:r>
        <w:rPr>
          <w:rFonts w:ascii="Calibri" w:cs="Calibri" w:eastAsia="Calibri" w:hAnsi="Calibri"/>
          <w:i w:val="false"/>
          <w:iCs w:val="false"/>
          <w:sz w:val="21"/>
          <w:szCs w:val="21"/>
        </w:rPr>
        <w:t xml:space="preserve">After scoring, examine how ratings are spread. Where most themes cluster in the middle two values, flag the run for review rather than passing it through. Middle-clustering usually indicates hedging rather than a uniform market.</w:t>
      </w:r>
    </w:p>
    <w:p>
      <w:pPr>
        <w:spacing w:after="140"/>
      </w:pPr>
      <w:r>
        <w:rPr>
          <w:rFonts w:ascii="Calibri" w:cs="Calibri" w:eastAsia="Calibri" w:hAnsi="Calibri"/>
          <w:i w:val="false"/>
          <w:iCs w:val="false"/>
          <w:sz w:val="21"/>
          <w:szCs w:val="21"/>
        </w:rPr>
        <w:t xml:space="preserve">The agnostic OpenAI slide in the sample package is an example: three themes Pervasive, three Significant, nothing below. The two market slides from the same corpus spread across three tiers.</w:t>
      </w:r>
    </w:p>
    <w:p>
      <w:pPr>
        <w:pStyle w:val="Heading2"/>
        <w:spacing w:after="110" w:before="280"/>
      </w:pPr>
      <w:r>
        <w:rPr>
          <w:rFonts w:ascii="Calibri" w:cs="Calibri" w:eastAsia="Calibri" w:hAnsi="Calibri"/>
          <w:b/>
          <w:bCs/>
          <w:color w:val="1F3864"/>
          <w:sz w:val="24"/>
          <w:szCs w:val="24"/>
        </w:rPr>
        <w:t xml:space="preserve">Off-ramp</w:t>
      </w:r>
    </w:p>
    <w:p>
      <w:pPr>
        <w:spacing w:after="130"/>
      </w:pPr>
      <w:r>
        <w:rPr>
          <w:rFonts w:ascii="Calibri" w:cs="Calibri" w:eastAsia="Calibri" w:hAnsi="Calibri"/>
          <w:b/>
          <w:bCs/>
          <w:caps w:val="false"/>
          <w:color w:val="595959"/>
          <w:sz w:val="17"/>
          <w:szCs w:val="17"/>
        </w:rPr>
        <w:t xml:space="preserve">ESTABLISHED PRACTICE — in use across prior projects</w:t>
      </w:r>
    </w:p>
    <w:p>
      <w:pPr>
        <w:spacing w:after="140"/>
      </w:pPr>
      <w:r>
        <w:rPr>
          <w:rFonts w:ascii="Calibri" w:cs="Calibri" w:eastAsia="Calibri" w:hAnsi="Calibri"/>
          <w:i w:val="false"/>
          <w:iCs w:val="false"/>
          <w:sz w:val="21"/>
          <w:szCs w:val="21"/>
        </w:rPr>
        <w:t xml:space="preserve">Where the evidence does not support a finding, say so rather than filling the slot. Manufactured balance is a failure, not a courtesy. This instruction has demonstrably produced honest declines on past runs, including a theme dropped entirely for lack of supporting records.</w:t>
      </w:r>
    </w:p>
    <w:p>
      <w:pPr>
        <w:pStyle w:val="Heading1"/>
        <w:spacing w:after="150" w:before="380"/>
      </w:pPr>
      <w:r>
        <w:rPr>
          <w:rFonts w:ascii="Calibri" w:cs="Calibri" w:eastAsia="Calibri" w:hAnsi="Calibri"/>
          <w:b/>
          <w:bCs/>
          <w:color w:val="1F3864"/>
          <w:sz w:val="30"/>
          <w:szCs w:val="30"/>
        </w:rPr>
        <w:t xml:space="preserve">What this rubric does not cover</w:t>
      </w:r>
    </w:p>
    <w:p>
      <w:pPr>
        <w:spacing w:after="140"/>
      </w:pPr>
      <w:r>
        <w:rPr>
          <w:rFonts w:ascii="Calibri" w:cs="Calibri" w:eastAsia="Calibri" w:hAnsi="Calibri"/>
          <w:i w:val="false"/>
          <w:iCs w:val="false"/>
          <w:sz w:val="21"/>
          <w:szCs w:val="21"/>
        </w:rPr>
        <w:t xml:space="preserve">Slide titles, the kicker lines beneath them, synthesis panels and any “so what” commentary are written by hand. They have no supporting records and are not rated. They still require checking, but against the corpus as authored claims rather than through this rubric.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2026-08-17T12:33:54.527Z</dcterms:created>
  <dcterms:modified xsi:type="dcterms:W3CDTF">2026-08-17T12:33:54.549Z</dcterms:modified>
</cp:coreProperties>
</file>

<file path=docProps/custom.xml><?xml version="1.0" encoding="utf-8"?>
<Properties xmlns="http://schemas.openxmlformats.org/officeDocument/2006/custom-properties" xmlns:vt="http://schemas.openxmlformats.org/officeDocument/2006/docPropsVTypes"/>
</file>