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ptos" w:hAnsi="Aptos"/>
          <w:b/>
          <w:color w:val="E2A744"/>
          <w:sz w:val="16"/>
        </w:rPr>
        <w:t>ZYNTH TWO-HOUR BILINGUAL PRODUCTION PLAYBOOK</w:t>
      </w:r>
    </w:p>
    <w:p>
      <w:r>
        <w:rPr>
          <w:rFonts w:ascii="Aptos Display" w:hAnsi="Aptos Display" w:eastAsia="Noto Sans Myanmar"/>
          <w:b/>
          <w:color w:val="0E3150"/>
          <w:sz w:val="46"/>
        </w:rPr>
        <w:t>The Continuity Clinic</w:t>
      </w:r>
    </w:p>
    <w:p>
      <w:pPr>
        <w:spacing w:after="180"/>
      </w:pPr>
      <w:r>
        <w:rPr>
          <w:rFonts w:ascii="Aptos" w:hAnsi="Aptos" w:eastAsia="Noto Sans Myanmar"/>
          <w:color w:val="5D6A75"/>
          <w:sz w:val="22"/>
        </w:rPr>
        <w:t>မရပ်မနား လည်ပတ်နိုင်ရေး ကလင်နစ်</w:t>
      </w:r>
    </w:p>
    <w:p>
      <w:pPr>
        <w:spacing w:before="300" w:after="280"/>
      </w:pPr>
      <w:r>
        <w:rPr>
          <w:rFonts w:ascii="Aptos Display" w:hAnsi="Aptos Display" w:eastAsia="Noto Sans Myanmar"/>
          <w:b/>
          <w:color w:val="E2A744"/>
          <w:sz w:val="32"/>
        </w:rPr>
        <w:t>Power the work that cannot pause.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88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DOCUMENT CONTROL</w:t>
            </w:r>
          </w:p>
        </w:tc>
        <w:tc>
          <w:tcPr>
            <w:tcW w:type="dxa" w:w="6768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DETAIL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Industry / Industry Code</w:t>
            </w:r>
          </w:p>
        </w:tc>
        <w:tc>
          <w:tcPr>
            <w:tcW w:type="dxa" w:w="67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Energy and solar adoption / energy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Proposal format</w:t>
            </w:r>
          </w:p>
        </w:tc>
        <w:tc>
          <w:tcPr>
            <w:tcW w:type="dxa" w:w="67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Executive diagnostic pop-up and appointment-led proof lab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Batch</w:t>
            </w:r>
          </w:p>
        </w:tc>
        <w:tc>
          <w:tcPr>
            <w:tcW w:type="dxa" w:w="67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ZYNTH-20260821-ENERGY-BILINGUAL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Document version</w:t>
            </w:r>
          </w:p>
        </w:tc>
        <w:tc>
          <w:tcPr>
            <w:tcW w:type="dxa" w:w="67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v1.0 — planning draft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Prepared</w:t>
            </w:r>
          </w:p>
        </w:tc>
        <w:tc>
          <w:tcPr>
            <w:tcW w:type="dxa" w:w="67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21 August 2026 (UTC)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Source status</w:t>
            </w:r>
          </w:p>
        </w:tc>
        <w:tc>
          <w:tcPr>
            <w:tcW w:type="dxa" w:w="67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New ZYNTH planning concept; no client, venue, partner or supplier appointment is implied.</w:t>
            </w:r>
          </w:p>
        </w:tc>
      </w:tr>
    </w:tbl>
    <w:p>
      <w:pPr>
        <w:spacing w:after="20"/>
      </w:pPr>
    </w:p>
    <w:p/>
    <w:p>
      <w:pPr>
        <w:spacing w:after="80" w:line="252" w:lineRule="auto"/>
      </w:pPr>
      <w:r>
        <w:rPr>
          <w:rFonts w:ascii="Aptos" w:hAnsi="Aptos" w:eastAsia="Noto Sans Myanmar"/>
          <w:i/>
          <w:color w:val="5D6A75"/>
          <w:sz w:val="17"/>
        </w:rPr>
        <w:t>This is a planning document, not a supplier quotation, financial guarantee, legal approval, permit confirmation, engineering drawing, performance warranty or partnership announcement. All named places, talent, production houses, rights, permits, engineering specifications and media inventory remain proposed/TBC until independently verified and client-approved.</w:t>
      </w:r>
    </w:p>
    <w:p>
      <w:r>
        <w:br w:type="page"/>
      </w: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Executive Overview</w:t>
      </w:r>
    </w:p>
    <w:p>
      <w:pPr>
        <w:spacing w:after="80" w:line="252" w:lineRule="auto"/>
      </w:pPr>
      <w:r>
        <w:rPr>
          <w:rFonts w:ascii="Aptos" w:hAnsi="Aptos" w:eastAsia="Noto Sans Myanmar"/>
          <w:i w:val="0"/>
          <w:sz w:val="18"/>
        </w:rPr>
        <w:t>Executive diagnostic pop-up and appointment-led proof lab built for a client-selected energy or solar brand. The concept turns the commercial tension—operations leaders cannot quickly translate power interruptions into a decision-ready resilience brief.—into a consented next step: A 12-minute 'critical-load card' produces a named assessment booking and consented follow-up.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376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STRATEGIC FIELD</w:t>
            </w:r>
          </w:p>
        </w:tc>
        <w:tc>
          <w:tcPr>
            <w:tcW w:type="dxa" w:w="7272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PROPOSAL RESPONSE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Commercial tension</w:t>
            </w:r>
          </w:p>
        </w:tc>
        <w:tc>
          <w:tcPr>
            <w:tcW w:type="dxa" w:w="72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Operations leaders cannot quickly translate power interruptions into a decision-ready resilience brief.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Creative territory</w:t>
            </w:r>
          </w:p>
        </w:tc>
        <w:tc>
          <w:tcPr>
            <w:tcW w:type="dxa" w:w="72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Every Watt Has a Job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Behaviour change</w:t>
            </w:r>
          </w:p>
        </w:tc>
        <w:tc>
          <w:tcPr>
            <w:tcW w:type="dxa" w:w="72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Move from passive interest to a booked, client-authorised load and continuity assessment.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Conversion mechanism</w:t>
            </w:r>
          </w:p>
        </w:tc>
        <w:tc>
          <w:tcPr>
            <w:tcW w:type="dxa" w:w="72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 12-minute 'critical-load card' produces a named assessment booking and consented follow-up.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Core message</w:t>
            </w:r>
          </w:p>
        </w:tc>
        <w:tc>
          <w:tcPr>
            <w:tcW w:type="dxa" w:w="72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Start with the load that protects your customer promise.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CTA example</w:t>
            </w:r>
          </w:p>
        </w:tc>
        <w:tc>
          <w:tcPr>
            <w:tcW w:type="dxa" w:w="72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Book a critical-load assessment.</w:t>
            </w:r>
          </w:p>
        </w:tc>
      </w:tr>
    </w:tbl>
    <w:p>
      <w:pPr>
        <w:spacing w:after="20"/>
      </w:pP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Audience Insight</w:t>
      </w:r>
    </w:p>
    <w:p>
      <w:pPr>
        <w:spacing w:after="80" w:line="252" w:lineRule="auto"/>
      </w:pPr>
      <w:r>
        <w:rPr>
          <w:rFonts w:ascii="Aptos" w:hAnsi="Aptos" w:eastAsia="Noto Sans Myanmar"/>
          <w:i w:val="0"/>
          <w:sz w:val="18"/>
        </w:rPr>
        <w:t>When the conversation begins with the work that must not stop, a power solution becomes an operating choice rather than a hardware comparison.</w:t>
      </w: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Audience Behaviour Change</w:t>
      </w:r>
    </w:p>
    <w:p>
      <w:pPr>
        <w:spacing w:after="80" w:line="252" w:lineRule="auto"/>
      </w:pPr>
      <w:r>
        <w:rPr>
          <w:rFonts w:ascii="Aptos" w:hAnsi="Aptos" w:eastAsia="Noto Sans Myanmar"/>
          <w:i w:val="0"/>
          <w:sz w:val="18"/>
        </w:rPr>
        <w:t>Move from passive interest to a booked, client-authorised load and continuity assessment.</w:t>
      </w: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Audience Journey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1944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STAGE</w:t>
            </w:r>
          </w:p>
        </w:tc>
        <w:tc>
          <w:tcPr>
            <w:tcW w:type="dxa" w:w="7704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EXPERIENCE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1. See</w:t>
            </w:r>
          </w:p>
        </w:tc>
        <w:tc>
          <w:tcPr>
            <w:tcW w:type="dxa" w:w="77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Recognises a familiar interruption or decision friction.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2. Understand</w:t>
            </w:r>
          </w:p>
        </w:tc>
        <w:tc>
          <w:tcPr>
            <w:tcW w:type="dxa" w:w="77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Start with the load that protects your customer promise.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3. Experience</w:t>
            </w:r>
          </w:p>
        </w:tc>
        <w:tc>
          <w:tcPr>
            <w:tcW w:type="dxa" w:w="77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Receives a guided, safe proof moment with claims bounded by approvals.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4. Choose</w:t>
            </w:r>
          </w:p>
        </w:tc>
        <w:tc>
          <w:tcPr>
            <w:tcW w:type="dxa" w:w="77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Book a critical-load assessment.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5. Continue</w:t>
            </w:r>
          </w:p>
        </w:tc>
        <w:tc>
          <w:tcPr>
            <w:tcW w:type="dxa" w:w="77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 named owner follows up only where consent and client governance permit.</w:t>
            </w:r>
          </w:p>
        </w:tc>
      </w:tr>
    </w:tbl>
    <w:p>
      <w:pPr>
        <w:spacing w:after="20"/>
      </w:pP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Seasonal / Special-Day Rationale</w:t>
      </w:r>
    </w:p>
    <w:p>
      <w:pPr>
        <w:spacing w:after="80" w:line="252" w:lineRule="auto"/>
      </w:pPr>
      <w:r>
        <w:rPr>
          <w:rFonts w:ascii="Aptos" w:hAnsi="Aptos" w:eastAsia="Noto Sans Myanmar"/>
          <w:i w:val="0"/>
          <w:sz w:val="18"/>
        </w:rPr>
        <w:t>Proposed for September 2026 as a pre-Q4 continuity-planning clinic; date and venue TBC.</w:t>
      </w:r>
    </w:p>
    <w:p>
      <w:pPr>
        <w:spacing w:after="80" w:line="252" w:lineRule="auto"/>
      </w:pPr>
      <w:r>
        <w:rPr>
          <w:rFonts w:ascii="Aptos" w:hAnsi="Aptos" w:eastAsia="Noto Sans Myanmar"/>
          <w:i/>
          <w:color w:val="5D6A75"/>
          <w:sz w:val="17"/>
        </w:rPr>
        <w:t>The only dated Q4 public calendar references used in this proposal are official timing cues; they create no event right, sponsor entitlement, public-activation approval or permit.</w:t>
      </w:r>
    </w:p>
    <w:p>
      <w:r>
        <w:br w:type="page"/>
      </w: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Experience / Campaign Plan</w:t>
      </w:r>
    </w:p>
    <w:p>
      <w:pPr>
        <w:pStyle w:val="ListBullet"/>
        <w:spacing w:after="40"/>
      </w:pPr>
      <w:r>
        <w:rPr>
          <w:rFonts w:ascii="Aptos" w:hAnsi="Aptos" w:eastAsia="Noto Sans Myanmar"/>
          <w:sz w:val="18"/>
        </w:rPr>
        <w:t>Invite 40 named operations, finance and facility decision-makers through client-approved lists.</w:t>
      </w:r>
    </w:p>
    <w:p>
      <w:pPr>
        <w:pStyle w:val="ListBullet"/>
        <w:spacing w:after="40"/>
      </w:pPr>
      <w:r>
        <w:rPr>
          <w:rFonts w:ascii="Aptos" w:hAnsi="Aptos" w:eastAsia="Noto Sans Myanmar"/>
          <w:sz w:val="18"/>
        </w:rPr>
        <w:t>Run a guided diagnostic sequence: interruption map, critical-load card and engineering handoff.</w:t>
      </w:r>
    </w:p>
    <w:p>
      <w:pPr>
        <w:pStyle w:val="ListBullet"/>
        <w:spacing w:after="40"/>
      </w:pPr>
      <w:r>
        <w:rPr>
          <w:rFonts w:ascii="Aptos" w:hAnsi="Aptos" w:eastAsia="Noto Sans Myanmar"/>
          <w:sz w:val="18"/>
        </w:rPr>
        <w:t>Issue a one-page 'next decision' recap within 48 hours after consented follow-up.</w:t>
      </w: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Content System</w:t>
      </w:r>
    </w:p>
    <w:p>
      <w:pPr>
        <w:spacing w:after="80" w:line="252" w:lineRule="auto"/>
      </w:pPr>
      <w:r>
        <w:rPr>
          <w:rFonts w:ascii="Aptos" w:hAnsi="Aptos" w:eastAsia="Noto Sans Myanmar"/>
          <w:i w:val="0"/>
          <w:sz w:val="18"/>
        </w:rPr>
        <w:t>One operating-continuity hero film, five 15-second job-to-be-done cutdowns, a diagnostic-card carousel and a post-clinic recap template.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52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LAYER</w:t>
            </w:r>
          </w:p>
        </w:tc>
        <w:tc>
          <w:tcPr>
            <w:tcW w:type="dxa" w:w="720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DELIVERABLE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Hero asset</w:t>
            </w:r>
          </w:p>
        </w:tc>
        <w:tc>
          <w:tcPr>
            <w:tcW w:type="dxa" w:w="7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 × 45–60 second commercial video with 16:9, 9:16 and 1:1 masters.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Explainers</w:t>
            </w:r>
          </w:p>
        </w:tc>
        <w:tc>
          <w:tcPr>
            <w:tcW w:type="dxa" w:w="7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3–6 × 10–20 second proof, question or journey cutdowns.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Conversion assets</w:t>
            </w:r>
          </w:p>
        </w:tc>
        <w:tc>
          <w:tcPr>
            <w:tcW w:type="dxa" w:w="7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Landing/registration/CRM or event follow-up assets subject to data and legal review.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Measurement assets</w:t>
            </w:r>
          </w:p>
        </w:tc>
        <w:tc>
          <w:tcPr>
            <w:tcW w:type="dxa" w:w="7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UTM/QR/event tags, consent log and client-approved dashboard fields.</w:t>
            </w:r>
          </w:p>
        </w:tc>
      </w:tr>
    </w:tbl>
    <w:p>
      <w:pPr>
        <w:spacing w:after="20"/>
      </w:pP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Talent Logic</w:t>
      </w:r>
    </w:p>
    <w:p>
      <w:pPr>
        <w:spacing w:after="80" w:line="252" w:lineRule="auto"/>
      </w:pPr>
      <w:r>
        <w:rPr>
          <w:rFonts w:ascii="Aptos" w:hAnsi="Aptos" w:eastAsia="Noto Sans Myanmar"/>
          <w:i w:val="0"/>
          <w:sz w:val="18"/>
        </w:rPr>
        <w:t>A credible Myanmar-speaking facilitator and a technical spokesperson; both proposed/TBC, with suitability, usage and safety clearance required.</w:t>
      </w: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Production Requirements</w:t>
      </w:r>
    </w:p>
    <w:p>
      <w:pPr>
        <w:spacing w:after="80" w:line="252" w:lineRule="auto"/>
      </w:pPr>
      <w:r>
        <w:rPr>
          <w:rFonts w:ascii="Aptos" w:hAnsi="Aptos" w:eastAsia="Noto Sans Myanmar"/>
          <w:i w:val="0"/>
          <w:sz w:val="18"/>
        </w:rPr>
        <w:t>Indoor 8m x 6m proof lab, four consultation stations, low-noise display power, QR registration, bilingual moderator cards, accessibility seating and engineered power distribution.</w:t>
      </w:r>
    </w:p>
    <w:p>
      <w:r>
        <w:br w:type="page"/>
      </w: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Three Planning Budget Packages</w:t>
      </w:r>
    </w:p>
    <w:p>
      <w:pPr>
        <w:spacing w:after="80" w:line="252" w:lineRule="auto"/>
      </w:pPr>
      <w:r>
        <w:rPr>
          <w:rFonts w:ascii="Aptos" w:hAnsi="Aptos" w:eastAsia="Noto Sans Myanmar"/>
          <w:i/>
          <w:color w:val="5D6A75"/>
          <w:sz w:val="17"/>
        </w:rPr>
        <w:t>All MMK figures are non-binding planning envelopes, not supplier quotations. Taxes are excluded/TBC at the applicable rate; scope, timing, venue, engineering, travel, media, talent, rights, freight and permits can change the final cost.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512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PACKAGE</w:t>
            </w:r>
          </w:p>
        </w:tc>
        <w:tc>
          <w:tcPr>
            <w:tcW w:type="dxa" w:w="2304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NON-TAX MMK</w:t>
            </w:r>
          </w:p>
        </w:tc>
        <w:tc>
          <w:tcPr>
            <w:tcW w:type="dxa" w:w="5904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PLANNING INTENT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Lean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18,900,000</w:t>
            </w:r>
          </w:p>
        </w:tc>
        <w:tc>
          <w:tcPr>
            <w:tcW w:type="dxa" w:w="59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Compact proof / one core format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Recommended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39,600,000</w:t>
            </w:r>
          </w:p>
        </w:tc>
        <w:tc>
          <w:tcPr>
            <w:tcW w:type="dxa" w:w="59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Balanced production, content and conversion operations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Flagship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71,800,000</w:t>
            </w:r>
          </w:p>
        </w:tc>
        <w:tc>
          <w:tcPr>
            <w:tcW w:type="dxa" w:w="59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Expanded footprint, asset suite and contingency depth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6696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Lean BREAKDOWN</w:t>
            </w:r>
          </w:p>
        </w:tc>
        <w:tc>
          <w:tcPr>
            <w:tcW w:type="dxa" w:w="3024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MMK / STATUS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Pass-through production / media / suppliers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13,230,000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ZYNTH strategy, creative, PM and production fee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3,780,000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Contingency (uncommitted; client release required)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1,890,000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Taxes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Excluded / TBC at applicable rate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Non-tax planning envelope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18,900,000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6696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Recommended BREAKDOWN</w:t>
            </w:r>
          </w:p>
        </w:tc>
        <w:tc>
          <w:tcPr>
            <w:tcW w:type="dxa" w:w="3024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MMK / STATUS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Pass-through production / media / suppliers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27,720,000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ZYNTH strategy, creative, PM and production fee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7,920,000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Contingency (uncommitted; client release required)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3,960,000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Taxes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Excluded / TBC at applicable rate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Non-tax planning envelope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39,600,000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6696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Flagship BREAKDOWN</w:t>
            </w:r>
          </w:p>
        </w:tc>
        <w:tc>
          <w:tcPr>
            <w:tcW w:type="dxa" w:w="3024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MMK / STATUS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Pass-through production / media / suppliers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50,260,000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ZYNTH strategy, creative, PM and production fee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14,360,000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Contingency (uncommitted; client release required)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7,180,000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Taxes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Excluded / TBC at applicable rate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Non-tax planning envelope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71,800,000</w:t>
            </w:r>
          </w:p>
        </w:tc>
      </w:tr>
    </w:tbl>
    <w:p>
      <w:pPr>
        <w:spacing w:after="20"/>
      </w:pP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Scenario-Based Commercial Outcomes &amp; Break-Even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14"/>
        <w:gridCol w:w="1714"/>
        <w:gridCol w:w="1714"/>
        <w:gridCol w:w="1714"/>
        <w:gridCol w:w="1714"/>
        <w:gridCol w:w="1714"/>
      </w:tblGrid>
      <w:tr>
        <w:trPr>
          <w:tblHeader w:val="true"/>
        </w:trPr>
        <w:tc>
          <w:tcPr>
            <w:tcW w:type="dxa" w:w="1296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1368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QUALIFIED LEADS</w:t>
            </w:r>
          </w:p>
        </w:tc>
        <w:tc>
          <w:tcPr>
            <w:tcW w:type="dxa" w:w="1152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ASSUMED CLOSE</w:t>
            </w:r>
          </w:p>
        </w:tc>
        <w:tc>
          <w:tcPr>
            <w:tcW w:type="dxa" w:w="1296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EXPECTED CLOSES</w:t>
            </w:r>
          </w:p>
        </w:tc>
        <w:tc>
          <w:tcPr>
            <w:tcW w:type="dxa" w:w="2376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INCREMENTAL CONTRIBUTION</w:t>
            </w:r>
          </w:p>
        </w:tc>
        <w:tc>
          <w:tcPr>
            <w:tcW w:type="dxa" w:w="1224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ROI vs Recommended</w:t>
            </w:r>
          </w:p>
        </w:tc>
      </w:tr>
      <w:t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Conservative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8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13%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1.0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9,360,000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-76%</w:t>
            </w:r>
          </w:p>
        </w:tc>
      </w:tr>
      <w:t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Base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18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22%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4.0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35,640,000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-10%</w:t>
            </w:r>
          </w:p>
        </w:tc>
      </w:tr>
      <w:t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Upside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32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30%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9.6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86,400,000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118%</w:t>
            </w:r>
          </w:p>
        </w:tc>
      </w:tr>
    </w:tbl>
    <w:p>
      <w:pPr>
        <w:spacing w:after="20"/>
      </w:pPr>
    </w:p>
    <w:p>
      <w:pPr>
        <w:spacing w:after="80" w:line="252" w:lineRule="auto"/>
      </w:pPr>
      <w:r>
        <w:rPr>
          <w:rFonts w:ascii="Aptos" w:hAnsi="Aptos" w:eastAsia="Noto Sans Myanmar"/>
          <w:i/>
          <w:color w:val="5D6A75"/>
          <w:sz w:val="18"/>
        </w:rPr>
        <w:t>Recommended-package break-even occurs at 5 incremental closed deal(s) at the assumed incremental gross contribution of MMK 9,000,000 per closed deal. This is a planning equation, not a revenue, performance or financial guarantee.</w:t>
      </w:r>
    </w:p>
    <w:p>
      <w:r>
        <w:br w:type="page"/>
      </w: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KPI Scorecard &amp; Monitoring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180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KPI</w:t>
            </w:r>
          </w:p>
        </w:tc>
        <w:tc>
          <w:tcPr>
            <w:tcW w:type="dxa" w:w="396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PLANNING TARGET / DEFINITION</w:t>
            </w:r>
          </w:p>
        </w:tc>
        <w:tc>
          <w:tcPr>
            <w:tcW w:type="dxa" w:w="2232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SOURCE</w:t>
            </w:r>
          </w:p>
        </w:tc>
        <w:tc>
          <w:tcPr>
            <w:tcW w:type="dxa" w:w="1656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CADENCE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Reach / invitations</w:t>
            </w:r>
          </w:p>
        </w:tc>
        <w:tc>
          <w:tcPr>
            <w:tcW w:type="dxa" w:w="39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Client-approved reach and invitation delivery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Platform/event evidence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Weekly / event close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Engaged proof actions</w:t>
            </w:r>
          </w:p>
        </w:tc>
        <w:tc>
          <w:tcPr>
            <w:tcW w:type="dxa" w:w="39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Demo completion, video completion or UI progress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QR / analytics event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Daily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Qualified leads</w:t>
            </w:r>
          </w:p>
        </w:tc>
        <w:tc>
          <w:tcPr>
            <w:tcW w:type="dxa" w:w="39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Base planning scenario: 18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Consent log + qualification fields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Daily / weekly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Booked next step</w:t>
            </w:r>
          </w:p>
        </w:tc>
        <w:tc>
          <w:tcPr>
            <w:tcW w:type="dxa" w:w="39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Assessment, survey, workshop or decision sprint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CRM owner status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Weekly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Commercial outcome</w:t>
            </w:r>
          </w:p>
        </w:tc>
        <w:tc>
          <w:tcPr>
            <w:tcW w:type="dxa" w:w="39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Client-defined qualified opportunity and closed-won contribution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CRM; restricted access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Monthly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Trust / safety</w:t>
            </w:r>
          </w:p>
        </w:tc>
        <w:tc>
          <w:tcPr>
            <w:tcW w:type="dxa" w:w="39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Claims, consent, incident and escalation log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PM / legal log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Real time</w:t>
            </w:r>
          </w:p>
        </w:tc>
      </w:tr>
    </w:tbl>
    <w:p>
      <w:pPr>
        <w:spacing w:after="20"/>
      </w:pPr>
    </w:p>
    <w:p>
      <w:pPr>
        <w:spacing w:after="80" w:line="252" w:lineRule="auto"/>
      </w:pPr>
      <w:r>
        <w:rPr>
          <w:rFonts w:ascii="Aptos" w:hAnsi="Aptos" w:eastAsia="Noto Sans Myanmar"/>
          <w:i/>
          <w:color w:val="5D6A75"/>
          <w:sz w:val="17"/>
        </w:rPr>
        <w:t>No historical client conversion, margin or media-performance data was supplied. Targets are therefore working assumptions to be replaced during discovery; all personal or CRM data requires client-approved lawful basis, notice, retention and access controls.</w:t>
      </w: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Risk, Compliance &amp; Safety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728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RISK</w:t>
            </w:r>
          </w:p>
        </w:tc>
        <w:tc>
          <w:tcPr>
            <w:tcW w:type="dxa" w:w="612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CONTROL</w:t>
            </w:r>
          </w:p>
        </w:tc>
        <w:tc>
          <w:tcPr>
            <w:tcW w:type="dxa" w:w="180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OWNER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Claims / performance</w:t>
            </w:r>
          </w:p>
        </w:tc>
        <w:tc>
          <w:tcPr>
            <w:tcW w:type="dxa" w:w="6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No saving, uptime, output, financing or payback claim without substantiation and client legal approval.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legal + technical owner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Permits / venue</w:t>
            </w:r>
          </w:p>
        </w:tc>
        <w:tc>
          <w:tcPr>
            <w:tcW w:type="dxa" w:w="6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All venue, authority, neighbourhood, site and public-activation permissions are proposed/TBC until written confirmation.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+ venue / local authority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Electrical / build safety</w:t>
            </w:r>
          </w:p>
        </w:tc>
        <w:tc>
          <w:tcPr>
            <w:tcW w:type="dxa" w:w="6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Supplier engineering, risk assessment, load plan, fire route and trained crew required before build.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Production house + HSE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Privacy / CRM</w:t>
            </w:r>
          </w:p>
        </w:tc>
        <w:tc>
          <w:tcPr>
            <w:tcW w:type="dxa" w:w="6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Use consent, opt-out, limited fields, retention rule and named data owner; no contact scraping.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data owner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Talent / rights</w:t>
            </w:r>
          </w:p>
        </w:tc>
        <w:tc>
          <w:tcPr>
            <w:tcW w:type="dxa" w:w="6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Written release, territory, term, media, music, location and voice usage rights before publication.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marketing + production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Cultural / calendar</w:t>
            </w:r>
          </w:p>
        </w:tc>
        <w:tc>
          <w:tcPr>
            <w:tcW w:type="dxa" w:w="6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Avoid holiday assumptions and obtain cultural-sensitivity review; do not imply government affiliation.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+ local reviewer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Community safeguarding</w:t>
            </w:r>
          </w:p>
        </w:tc>
        <w:tc>
          <w:tcPr>
            <w:tcW w:type="dxa" w:w="6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Use informed consent, non-coercive participation, safeguarding protocol and transparent selection language.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CSR / safeguarding lead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Design / Experience Package</w:t>
      </w:r>
    </w:p>
    <w:p>
      <w:pPr>
        <w:spacing w:after="80" w:line="252" w:lineRule="auto"/>
      </w:pPr>
      <w:r>
        <w:rPr>
          <w:rFonts w:ascii="Aptos" w:hAnsi="Aptos" w:eastAsia="Noto Sans Myanmar"/>
          <w:i w:val="0"/>
          <w:sz w:val="18"/>
        </w:rPr>
        <w:t>Separate design files are supplied as: (1) labelled sketch package, source SVG + client-viewable PNG; and (2) conceptual isometric 3D-style package, source SVG + client-viewable PNG. Each includes a hero perspective, front/stage elevation, plan/top view and detail view. These are visual concepts only, not construction drawings, electrical schematics or supplier-engineered specifications.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016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SPECIFICATION</w:t>
            </w:r>
          </w:p>
        </w:tc>
        <w:tc>
          <w:tcPr>
            <w:tcW w:type="dxa" w:w="5184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DESIGN INTENT</w:t>
            </w:r>
          </w:p>
        </w:tc>
        <w:tc>
          <w:tcPr>
            <w:tcW w:type="dxa" w:w="252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STATUS / DEPENDENCY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Design format</w:t>
            </w:r>
          </w:p>
        </w:tc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A3 landscape SVG source + 300 dpi PNG client preview; dimensions are approximate.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Concept source only; proposed/TBC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Approx. footprint</w:t>
            </w:r>
          </w:p>
        </w:tc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Indoor 8m x 6m proof lab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Subject to venue survey / crowd / fire route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Materials / surfaces</w:t>
            </w:r>
          </w:p>
        </w:tc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Powder-coated modular frame, FSC plywood or equivalent counters, tension fabric, non-slip vinyl, recyclable signage.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Supplier samples and structural method TBC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Lighting / furniture</w:t>
            </w:r>
          </w:p>
        </w:tc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Low-glare LED practicals, movable stools/counters, accessible seating, labelled demonstration plinths.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Electrical load and fixture placement subject to engineering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Wayfinding / zones</w:t>
            </w:r>
          </w:p>
        </w:tc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Welcome, proof/demo, consultation, consent/registration, product/talent and exit-feedback zones.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Final audience flow subject to site and client approval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Sightlines / limitations</w:t>
            </w:r>
          </w:p>
        </w:tc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Open front, 1.2m primary sightline and protected technical rear; no live operation or load representation without qualified supplier design.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Lead time: 4–8 weeks after approvals; complexity: medium to high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Approvals</w:t>
            </w:r>
          </w:p>
        </w:tc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brand/legal, venue, HSE, electrical supplier/engineer, landlord/authority where applicable, insurance and production house.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Required before procurement or build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Commercial Video Treatment</w:t>
      </w:r>
    </w:p>
    <w:p>
      <w:pPr>
        <w:spacing w:after="80" w:line="252" w:lineRule="auto"/>
      </w:pPr>
      <w:r>
        <w:rPr>
          <w:rFonts w:ascii="Aptos" w:hAnsi="Aptos" w:eastAsia="Noto Sans Myanmar"/>
          <w:i w:val="0"/>
          <w:sz w:val="18"/>
        </w:rPr>
        <w:t>Mood: humane confidence; vibe: precise but warm; emotional arc: disruption → recognition → agency → forward movement.</w:t>
      </w:r>
    </w:p>
    <w:p>
      <w:pPr>
        <w:spacing w:after="80" w:line="252" w:lineRule="auto"/>
      </w:pPr>
      <w:r>
        <w:rPr>
          <w:rFonts w:ascii="Aptos" w:hAnsi="Aptos" w:eastAsia="Noto Sans Myanmar"/>
          <w:i w:val="0"/>
          <w:sz w:val="18"/>
        </w:rPr>
        <w:t>Story premise: A single interruption threatens a customer promise; the protagonist isolates the work that must continue and takes a clear next step.</w:t>
      </w:r>
    </w:p>
    <w:p>
      <w:pPr>
        <w:spacing w:after="80" w:line="252" w:lineRule="auto"/>
      </w:pPr>
      <w:r>
        <w:rPr>
          <w:rFonts w:ascii="Aptos" w:hAnsi="Aptos" w:eastAsia="Noto Sans Myanmar"/>
          <w:i w:val="0"/>
          <w:sz w:val="18"/>
        </w:rPr>
        <w:t>VO: “Power the work that cannot pause. Start with the work that matters. Ask the right question. Take the next step.” Dialogue is natural Myanmar/English as approved, never scripted as a testimonial. On-screen copy: “Start with the load that protects your customer promise.” / “Book a critical-load assessment.”.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9"/>
        <w:gridCol w:w="1469"/>
        <w:gridCol w:w="1469"/>
        <w:gridCol w:w="1469"/>
        <w:gridCol w:w="1469"/>
        <w:gridCol w:w="1469"/>
        <w:gridCol w:w="1469"/>
      </w:tblGrid>
      <w:tr>
        <w:trPr>
          <w:tblHeader w:val="true"/>
        </w:trPr>
        <w:tc>
          <w:tcPr>
            <w:tcW w:type="dxa" w:w="504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SHOT</w:t>
            </w:r>
          </w:p>
        </w:tc>
        <w:tc>
          <w:tcPr>
            <w:tcW w:type="dxa" w:w="72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DURATION</w:t>
            </w:r>
          </w:p>
        </w:tc>
        <w:tc>
          <w:tcPr>
            <w:tcW w:type="dxa" w:w="1728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STORY BEAT</w:t>
            </w:r>
          </w:p>
        </w:tc>
        <w:tc>
          <w:tcPr>
            <w:tcW w:type="dxa" w:w="1368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LOCATION</w:t>
            </w:r>
          </w:p>
        </w:tc>
        <w:tc>
          <w:tcPr>
            <w:tcW w:type="dxa" w:w="792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TIME</w:t>
            </w:r>
          </w:p>
        </w:tc>
        <w:tc>
          <w:tcPr>
            <w:tcW w:type="dxa" w:w="1728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CAMERA</w:t>
            </w:r>
          </w:p>
        </w:tc>
        <w:tc>
          <w:tcPr>
            <w:tcW w:type="dxa" w:w="288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DIRECTION / DESIGN / SOUND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01</w:t>
            </w:r>
          </w:p>
        </w:tc>
        <w:tc>
          <w:tcPr>
            <w:tcW w:type="dxa" w:w="7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0–4s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 working moment meets an interruption cue.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Proposed/TBC Proposed/TBC Yangon office, workshop or clinic environment</w:t>
            </w:r>
          </w:p>
        </w:tc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Dawn / late afternoon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Macro → medium; 50mm; shallow DoF; slow push-in.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Talent pauses naturally; no distress performance. Practical work props; motivated window light; room tone.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02</w:t>
            </w:r>
          </w:p>
        </w:tc>
        <w:tc>
          <w:tcPr>
            <w:tcW w:type="dxa" w:w="7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4–9s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The audience tension becomes visible through one human decision.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Same / controlled set</w:t>
            </w:r>
          </w:p>
        </w:tc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Day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Medium profile; 35mm; soft DoF; lateral slider.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Natural glance to task; restrained blocking; neutral wardrobe; warm practicals; clean dialogue capture.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03</w:t>
            </w:r>
          </w:p>
        </w:tc>
        <w:tc>
          <w:tcPr>
            <w:tcW w:type="dxa" w:w="7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9–15s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 question reframes the problem.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Proof or UI moment</w:t>
            </w:r>
          </w:p>
        </w:tc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Day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Over-shoulder; 50mm; focus rack; gentle tilt.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Hand marks critical task or taps UI. Hero prop is generic until client product clearance. Soft key and graphic accent.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04</w:t>
            </w:r>
          </w:p>
        </w:tc>
        <w:tc>
          <w:tcPr>
            <w:tcW w:type="dxa" w:w="7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15–22s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The proposed experience makes the next step tangible.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Demo / consultation zone</w:t>
            </w:r>
          </w:p>
        </w:tc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Day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Wide 24mm; deeper DoF; controlled orbit.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Facilitator guides, never hard-sells. Labelled proof surfaces, minimal furniture, accessible sightline.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05</w:t>
            </w:r>
          </w:p>
        </w:tc>
        <w:tc>
          <w:tcPr>
            <w:tcW w:type="dxa" w:w="7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22–30s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 calm proof detail earns attention.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Technical detail</w:t>
            </w:r>
          </w:p>
        </w:tc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Day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Macro 85mm; shallow DoF; locked-off.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Hands only; no technical result implied. Practical LEDs; foley of click, paper, or interface tap.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06</w:t>
            </w:r>
          </w:p>
        </w:tc>
        <w:tc>
          <w:tcPr>
            <w:tcW w:type="dxa" w:w="7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30–38s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The protagonist chooses a client-approved next step.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Booking / briefing moment</w:t>
            </w:r>
          </w:p>
        </w:tc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Day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Medium front; 50mm; gentle handheld stabilised move.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Consent is visible and unhurried. Clear bilingual copy; quiet score begins to resolve.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07</w:t>
            </w:r>
          </w:p>
        </w:tc>
        <w:tc>
          <w:tcPr>
            <w:tcW w:type="dxa" w:w="7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38–48s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The working day resumes with a feeling of agency—not a guarantee.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Original setting</w:t>
            </w:r>
          </w:p>
        </w:tc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Golden hour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Wide 35mm; moderate DoF; rising crane/gimbal.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Natural ensemble blocking, no staged customer claim. Warm grade, room ambience and restrained rhythmic edit.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08</w:t>
            </w:r>
          </w:p>
        </w:tc>
        <w:tc>
          <w:tcPr>
            <w:tcW w:type="dxa" w:w="7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48–60s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Tagline and CTA land with an accessible clear end card.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Graphic end card</w:t>
            </w:r>
          </w:p>
        </w:tc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N/A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Static graphic; no lens; high-contrast hierarchy.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Client-approved logo/product only. Subtitles on; descriptive audio; 16:9/9:16/1:1 versions; legal line only after approval.</w:t>
            </w:r>
          </w:p>
        </w:tc>
      </w:tr>
    </w:tbl>
    <w:p>
      <w:pPr>
        <w:spacing w:after="20"/>
      </w:pP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Craft Direction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088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56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TREATMENT STANDARD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Camera / framing</w:t>
            </w:r>
          </w:p>
        </w:tc>
        <w:tc>
          <w:tcPr>
            <w:tcW w:type="dxa" w:w="75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Cinema-style 4K capture; 24/35/50/85mm prime set; intentional shallow focus only where it preserves story clarity.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Production design</w:t>
            </w:r>
          </w:p>
        </w:tc>
        <w:tc>
          <w:tcPr>
            <w:tcW w:type="dxa" w:w="75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Realistic Myanmar work texture, uncluttered surface language, generic/unbranded product placeholders until cleared, no imitation of competitor design.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Wardrobe / talent</w:t>
            </w:r>
          </w:p>
        </w:tc>
        <w:tc>
          <w:tcPr>
            <w:tcW w:type="dxa" w:w="75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Everyday professional wardrobe; restrained palette; natural movement; no unsafe behaviour or unapproved technician portrayal.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Lighting / colour</w:t>
            </w:r>
          </w:p>
        </w:tc>
        <w:tc>
          <w:tcPr>
            <w:tcW w:type="dxa" w:w="75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Warm functional practicals, controlled daylight, cobalt or solar-gold accent; natural skin tone; gentle contrast; avoid exaggerated greenwashing cues.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Sound / music</w:t>
            </w:r>
          </w:p>
        </w:tc>
        <w:tc>
          <w:tcPr>
            <w:tcW w:type="dxa" w:w="75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Location ambience, clean boom/lav recording where dialogue is used, original/licensed minimalist pulse, foley, captions and optional audio description.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Edit / VFX</w:t>
            </w:r>
          </w:p>
        </w:tc>
        <w:tc>
          <w:tcPr>
            <w:tcW w:type="dxa" w:w="75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Purposeful 2–4 second edit rhythm, match cuts and graphic callouts; only practical effects or approved subtle VFX; no fabricated dashboard or performance data.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Accessibility / versions</w:t>
            </w:r>
          </w:p>
        </w:tc>
        <w:tc>
          <w:tcPr>
            <w:tcW w:type="dxa" w:w="75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Burned-in and sidecar Myanmar/English subtitles, contrast-tested supers, audio-description-ready master, 16:9 / 9:16 / 1:1 cutdowns, 6s / 15s / 30s / 60s deliverables.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Masters / rights</w:t>
            </w:r>
          </w:p>
        </w:tc>
        <w:tc>
          <w:tcPr>
            <w:tcW w:type="dxa" w:w="75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4K ProRes master, H.264 web masters, project archive, clean textless plate where feasible. Usage requires written approval for talent, music, location, product, logo, script and language territory/term.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Workflow, Production Gates &amp; Approval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576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GATE</w:t>
            </w:r>
          </w:p>
        </w:tc>
        <w:tc>
          <w:tcPr>
            <w:tcW w:type="dxa" w:w="2376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DELIVERABLE</w:t>
            </w:r>
          </w:p>
        </w:tc>
        <w:tc>
          <w:tcPr>
            <w:tcW w:type="dxa" w:w="180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468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APPROVAL / DEPENDENCY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01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Brief &amp; strategy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ZYNTH strategy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approves tension, audience, objective, KPI and exclusions.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02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Treatment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ZYNTH creative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approves concept territory, tagline, tone and proposed/TBCs.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03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Script &amp; storyboard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Production house / ZYNTH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legal/technical approves all claims, dialogue, supers and CTA.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04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Casting / talent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Production house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approves talent, wardrobe, language suitability, release and term.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05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Location &amp; permit checks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Production house / client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Venue, authority and site owner confirmation; no assumption.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06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Production design &amp; engineering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Supplier / engineer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Build, electrical, safety, materials and load plan clearance.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07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Call sheet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Production house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confirms key attendance, safety, schedule and escalation owner.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08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Shoot / activation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Production house + ZYNTH PM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Live issue escalation and daily client sign-off.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09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Data backup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Production house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Dual backup, checksum log and secure handoff.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10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Offline / fine cut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Editor / ZYNTH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Creative and factual review; version control.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11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Colour &amp; sound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Post house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review of grade, mix, captions and accessibility.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12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Legal / compliance review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legal / technical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Claims, privacy, rights and required disclosure sign-off.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13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Language adaptation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Myanmar copy reviewer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Natural Unicode Myanmar client-facing copy approval.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14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Master export / delivery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Post house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Approved master and cutdown inventory handoff.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15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Archive &amp; learnings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ZYNTH PM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Source archive, consent/rights log and KPI readout.</w:t>
            </w:r>
          </w:p>
        </w:tc>
      </w:tr>
    </w:tbl>
    <w:p>
      <w:pPr>
        <w:spacing w:after="20"/>
      </w:pP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Source Log &amp; Sourced Assumptions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576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1872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SOURCE</w:t>
            </w:r>
          </w:p>
        </w:tc>
        <w:tc>
          <w:tcPr>
            <w:tcW w:type="dxa" w:w="432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RETAINED FINDING / LIMIT</w:t>
            </w:r>
          </w:p>
        </w:tc>
        <w:tc>
          <w:tcPr>
            <w:tcW w:type="dxa" w:w="2664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URL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S01</w:t>
            </w:r>
          </w:p>
        </w:tc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Reuters (14 Nov 2025)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Myanmar solar adoption amid unreliable supply; context only.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https://www.reuters.com/sustainability/climate-energy/war-torn-myanmar-embraces-solar-tackle-power-crisis-2025-11-14/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S03</w:t>
            </w:r>
          </w:p>
        </w:tc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Smart Power Myanmar (accessed 21 Aug 2026)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Published financing-to-installation journey; supplier self-reported case studies not used as sector benchmark.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https://www.smartpowermyanmar.org/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S04</w:t>
            </w:r>
          </w:p>
        </w:tc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Global New Light of Myanmar (25 Jul 2026)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Published state context on solar use and technology-management discussion; not an approval.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https://www.gnlm.com.mm/efficiently-generate-solar-energy-for-the-state/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S05</w:t>
            </w:r>
          </w:p>
        </w:tc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Myanmar Ministry of Foreign Affairs / Myanmar National Portal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Official 2026 Q4 holiday dates used only as timing guardrails.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https://www.mofa.gov.mm/about-myanmar/public-holidays/</w:t>
            </w:r>
          </w:p>
        </w:tc>
      </w:tr>
    </w:tbl>
    <w:p>
      <w:pPr>
        <w:spacing w:after="20"/>
      </w:pPr>
    </w:p>
    <w:p>
      <w:pPr>
        <w:spacing w:after="80" w:line="252" w:lineRule="auto"/>
      </w:pPr>
      <w:r>
        <w:rPr>
          <w:rFonts w:ascii="Aptos" w:hAnsi="Aptos" w:eastAsia="Noto Sans Myanmar"/>
          <w:i/>
          <w:color w:val="5D6A75"/>
          <w:sz w:val="17"/>
        </w:rPr>
        <w:t>Sourced context supports market relevance and Q4 timing guardrails. Audience sizes, conversion rates, incremental gross contribution, programme scope, package budgets, project schedule and break-even are ZYNTH planning assumptions only; they must be recalibrated to client data and supplier quotes.</w:t>
      </w: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Approval Ask</w:t>
      </w:r>
    </w:p>
    <w:p>
      <w:pPr>
        <w:spacing w:after="80" w:line="252" w:lineRule="auto"/>
      </w:pPr>
      <w:r>
        <w:rPr>
          <w:rFonts w:ascii="Aptos" w:hAnsi="Aptos" w:eastAsia="Noto Sans Myanmar"/>
          <w:i w:val="0"/>
          <w:sz w:val="18"/>
        </w:rPr>
        <w:t>Approve or amend the commercial tension, target audience, conversion mechanism, Q4 timing window, Recommended planning envelope, measurement access, claims boundary and the proposed/TBC production route. Authorise the next gate only after client legal, technical, data, venue and procurement owners are named.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6408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DECISION REQUESTED</w:t>
            </w:r>
          </w:p>
        </w:tc>
        <w:tc>
          <w:tcPr>
            <w:tcW w:type="dxa" w:w="324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CLIENT RESPONSE</w:t>
            </w:r>
          </w:p>
        </w:tc>
      </w:tr>
      <w:tr>
        <w:tc>
          <w:tcPr>
            <w:tcW w:type="dxa" w:w="64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Proceed to discovery and supplier/venue verification</w:t>
            </w:r>
          </w:p>
        </w:tc>
        <w:tc>
          <w:tcPr>
            <w:tcW w:type="dxa" w:w="32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Approve / Amend / Hold</w:t>
            </w:r>
          </w:p>
        </w:tc>
      </w:tr>
      <w:tr>
        <w:tc>
          <w:tcPr>
            <w:tcW w:type="dxa" w:w="64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Release only the agreed planning-envelope tranche</w:t>
            </w:r>
          </w:p>
        </w:tc>
        <w:tc>
          <w:tcPr>
            <w:tcW w:type="dxa" w:w="32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Lean / Recommended / Flagship / TBC</w:t>
            </w:r>
          </w:p>
        </w:tc>
      </w:tr>
      <w:tr>
        <w:tc>
          <w:tcPr>
            <w:tcW w:type="dxa" w:w="64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Confirm named approval owners and turnaround</w:t>
            </w:r>
          </w:p>
        </w:tc>
        <w:tc>
          <w:tcPr>
            <w:tcW w:type="dxa" w:w="32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to nominate</w:t>
            </w:r>
          </w:p>
        </w:tc>
      </w:tr>
    </w:tbl>
    <w:p>
      <w:pPr>
        <w:spacing w:after="20"/>
      </w:pPr>
    </w:p>
    <w:p>
      <w:pPr>
        <w:spacing w:after="80" w:line="252" w:lineRule="auto"/>
      </w:pPr>
      <w:r>
        <w:rPr>
          <w:rFonts w:ascii="Aptos" w:hAnsi="Aptos" w:eastAsia="Noto Sans Myanmar"/>
          <w:i/>
          <w:color w:val="A53A38"/>
          <w:sz w:val="17"/>
        </w:rPr>
        <w:t>Unresolved TBCs: client brand/product, target lists, venue/site, dates, partner/creator/talent, production house, engineering, permits, rights, supplier quotes, data governance, claims evidence, schedule and signatory owners.</w:t>
      </w:r>
    </w:p>
    <w:sectPr w:rsidR="00FC693F" w:rsidRPr="0006063C" w:rsidSect="00034616">
      <w:footerReference w:type="default" r:id="rId9"/>
      <w:pgSz w:w="12240" w:h="15840"/>
      <w:pgMar w:top="893" w:right="979" w:bottom="792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D6A75"/>
        <w:sz w:val="16"/>
      </w:rPr>
      <w:t xml:space="preserve">ZYNTH • CONFIDENTIAL PLANNING DOCUMENT •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Noto Sans Myanmar"/>
      <w:color w:val="17212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Noto Sans Myanmar"/>
      <w:b/>
      <w:bCs/>
      <w:color w:val="0E315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Noto Sans Myanmar"/>
      <w:b/>
      <w:bCs/>
      <w:color w:val="0E315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Noto Sans Myanmar"/>
      <w:b/>
      <w:color w:val="0E315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