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E2A744"/>
          <w:sz w:val="16"/>
        </w:rPr>
        <w:t>ZYNTH TWO-HOUR BILINGUAL PRODUCTION PLAYBOOK</w:t>
      </w:r>
    </w:p>
    <w:p>
      <w:r>
        <w:rPr>
          <w:rFonts w:ascii="Aptos Display" w:hAnsi="Aptos Display" w:eastAsia="Noto Sans Myanmar"/>
          <w:b/>
          <w:color w:val="0E3150"/>
          <w:sz w:val="46"/>
        </w:rPr>
        <w:t>Light for What Matters</w:t>
      </w:r>
    </w:p>
    <w:p>
      <w:pPr>
        <w:spacing w:after="180"/>
      </w:pPr>
      <w:r>
        <w:rPr>
          <w:rFonts w:ascii="Aptos" w:hAnsi="Aptos" w:eastAsia="Noto Sans Myanmar"/>
          <w:color w:val="5D6A75"/>
          <w:sz w:val="22"/>
        </w:rPr>
        <w:t>အရေးကြီးသည့်အရာများအတွက် အလင်းရောင်</w:t>
      </w:r>
    </w:p>
    <w:p>
      <w:pPr>
        <w:spacing w:before="300" w:after="280"/>
      </w:pPr>
      <w:r>
        <w:rPr>
          <w:rFonts w:ascii="Aptos Display" w:hAnsi="Aptos Display" w:eastAsia="Noto Sans Myanmar"/>
          <w:b/>
          <w:color w:val="E2A744"/>
          <w:sz w:val="32"/>
        </w:rPr>
        <w:t>Start with what a community says it needs.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7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Industry / Industry Code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Energy and solar adoption / energy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Proposal format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listening programme and proposed/TBC social-impact activation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Batch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ZYNTH-20260821-ENERGY-BILINGUAL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Document version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v1.0 — planning draft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Prepared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21 August 2026 (UTC)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status</w:t>
            </w:r>
          </w:p>
        </w:tc>
        <w:tc>
          <w:tcPr>
            <w:tcW w:type="dxa" w:w="67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New ZYNTH planning concept; no client, venue, partner or supplier appointment is implied.</w:t>
            </w:r>
          </w:p>
        </w:tc>
      </w:tr>
    </w:tbl>
    <w:p>
      <w:pPr>
        <w:spacing w:after="20"/>
      </w:pPr>
    </w:p>
    <w:p/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This is a planning document, not a supplier quotation, financial guarantee, legal approval, permit confirmation, engineering drawing, performance warranty or partnership announcement. All named places, talent, production houses, rights, permits, engineering specifications and media inventory remain proposed/TBC until independently verified and client-approved.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Executive Overview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Community listening programme and proposed/TBC social-impact activation built for a client-selected energy or solar brand. The concept turns the commercial tension—community-energy conversations can become performative if local priorities, safeguards and selection criteria are not visible.—into a consented next step: A facilitated needs wall and opt-in feedback card generate a transparent, non-binding shortlisting brief.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STRATEGIC FIELD</w:t>
            </w:r>
          </w:p>
        </w:tc>
        <w:tc>
          <w:tcPr>
            <w:tcW w:type="dxa" w:w="72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PROPOSAL RESPONSE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tension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Community-energy conversations can become performative if local priorities, safeguards and selection criteria are not visible.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territory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Listen Before You Light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Behaviour change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Move from passive awareness to consented participation in an evidence-led community needs conversation.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mechanism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facilitated needs wall and opt-in feedback card generate a transparent, non-binding shortlisting brief.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Core message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responsible energy conversation begins by listening.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CTA example</w:t>
            </w:r>
          </w:p>
        </w:tc>
        <w:tc>
          <w:tcPr>
            <w:tcW w:type="dxa" w:w="72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Share a priority through the approved participation channel.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Insight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Respect is communicated through listening, transparent criteria and a clear boundary between a public conversation and a promised delivery.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Behaviour Change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Move from passive awareness to consented participation in an evidence-led community needs conversation.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Audience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7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 See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Recognises a familiar interruption or decision friction.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2. Understand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responsible energy conversation begins by listening.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 Experience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a guided, safe proof moment with claims bounded by approvals.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4. Choose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Share a priority through the approved participation channel.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5. Continue</w:t>
            </w:r>
          </w:p>
        </w:tc>
        <w:tc>
          <w:tcPr>
            <w:tcW w:type="dxa" w:w="77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named owner follows up only where consent and client governance permit.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Seasonal / Special-Day Rationale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Proposed for December 2026 community reflection period; partner, location, participation safeguards and any delivery commitment TBC.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The only dated Q4 public calendar references used in this proposal are official timing cues; they create no event right, sponsor entitlement, public-activation approval or permit.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Experience / Campaign Plan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Co-design a listening session only with client-approved local partner and safeguarding protocol.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Use anonymised, consented feedback mechanisms and publish the selection method before any potential support is announced.</w:t>
      </w:r>
    </w:p>
    <w:p>
      <w:pPr>
        <w:pStyle w:val="ListBullet"/>
        <w:spacing w:after="40"/>
      </w:pPr>
      <w:r>
        <w:rPr>
          <w:rFonts w:ascii="Aptos" w:hAnsi="Aptos" w:eastAsia="Noto Sans Myanmar"/>
          <w:sz w:val="18"/>
        </w:rPr>
        <w:t>Create a community report-back that states what is heard, what is proposed/TBC and what cannot be promised.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Content System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 listening-principles film, participant-consent explainer, transparent criteria cards and a report-back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2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Hero asset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 × 45–60 second commercial video with 16:9, 9:16 and 1:1 masters.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Explainers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3–6 × 10–20 second proof, question or journey cutdowns.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Conversion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Landing/registration/CRM or event follow-up assets subject to data and legal review.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Measurement assets</w:t>
            </w:r>
          </w:p>
        </w:tc>
        <w:tc>
          <w:tcPr>
            <w:tcW w:type="dxa" w:w="72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UTM/QR/event tags, consent log and client-approved dashboard fields.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Talent Logic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Facilitator and community participants are proposed/TBC; translation, safeguarding, consent and no-testimonial coercion are mandatory.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Production Requirements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Approx. 8m x 8m accessible listening circle, low-stimulus sound plan, child-safeguarding boundaries where applicable, privacy-first feedback station and weather contingency.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Three Planning Budget Packages</w:t>
      </w: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All MMK figures are non-binding planning envelopes, not supplier quotations. Taxes are excluded/TBC at the applicable rate; scope, timing, venue, engineering, travel, media, talent, rights, freight and permits can change the final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23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NON-TAX MMK</w:t>
            </w:r>
          </w:p>
        </w:tc>
        <w:tc>
          <w:tcPr>
            <w:tcW w:type="dxa" w:w="59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INTENT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17,800,000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Compact proof / one core format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Recommended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36,600,000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Balanced production, content and conversion operations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Flagship</w:t>
            </w:r>
          </w:p>
        </w:tc>
        <w:tc>
          <w:tcPr>
            <w:tcW w:type="dxa" w:w="2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74,200,000</w:t>
            </w:r>
          </w:p>
        </w:tc>
        <w:tc>
          <w:tcPr>
            <w:tcW w:type="dxa" w:w="59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Expanded footprint, asset suite and contingency depth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Lean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12,460,000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3,560,000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1,780,000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17,800,000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Recommended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25,620,000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7,320,000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3,660,000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36,600,000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6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Flagship BREAKDOWN</w:t>
            </w:r>
          </w:p>
        </w:tc>
        <w:tc>
          <w:tcPr>
            <w:tcW w:type="dxa" w:w="30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MMK / STATUS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Pass-through production / media / suppliers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51,940,000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strategy, creative, PM and production fee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14,840,000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Contingency (uncommitted; client release required)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7,420,000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Taxes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Excluded / TBC at applicable rate</w:t>
            </w:r>
          </w:p>
        </w:tc>
      </w:tr>
      <w:tr>
        <w:tc>
          <w:tcPr>
            <w:tcW w:type="dxa" w:w="66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Non-tax planning envelope</w:t>
            </w:r>
          </w:p>
        </w:tc>
        <w:tc>
          <w:tcPr>
            <w:tcW w:type="dxa" w:w="30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74,200,000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Scenario-Based Commercial Outcomes &amp;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QUALIFIED LEADS</w:t>
            </w:r>
          </w:p>
        </w:tc>
        <w:tc>
          <w:tcPr>
            <w:tcW w:type="dxa" w:w="115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ASSUMED CLOSE</w:t>
            </w:r>
          </w:p>
        </w:tc>
        <w:tc>
          <w:tcPr>
            <w:tcW w:type="dxa" w:w="129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EXPECTED CLOSES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INCREMENTAL CONTRIBUTION</w:t>
            </w:r>
          </w:p>
        </w:tc>
        <w:tc>
          <w:tcPr>
            <w:tcW w:type="dxa" w:w="122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Conservative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5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8%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0.4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4,000,000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-89%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1.4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14,400,000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-61%</w:t>
            </w:r>
          </w:p>
        </w:tc>
      </w:tr>
      <w:t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Upside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20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18%</w:t>
            </w:r>
          </w:p>
        </w:tc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3.6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MMK 36,000,000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-2%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8"/>
        </w:rPr>
        <w:t>Recommended-package break-even occurs at 4 incremental closed deal(s) at the assumed incremental gross contribution of MMK 10,000,000 per closed deal. This is a planning equation, not a revenue, performance or financial guarantee.</w:t>
      </w: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KPI Scorecard &amp;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KPI</w:t>
            </w:r>
          </w:p>
        </w:tc>
        <w:tc>
          <w:tcPr>
            <w:tcW w:type="dxa" w:w="39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PLANNING TARGET / DEFINITION</w:t>
            </w:r>
          </w:p>
        </w:tc>
        <w:tc>
          <w:tcPr>
            <w:tcW w:type="dxa" w:w="223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65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CADENCE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Reach / invitations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reach and invitation delivery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Platform/event evidence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 / event close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Engaged proof actions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completion, video completion or UI progress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QR / analytics event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Qualified leads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Base planning scenario: 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log + qualification fields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Daily / 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Booked next step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Assessment, survey, workshop or decision sprint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CRM owner status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Weekly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Commercial outcome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Client-defined qualified opportunity and closed-won contribution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CRM; restricted access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Monthly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Trust / safety</w:t>
            </w:r>
          </w:p>
        </w:tc>
        <w:tc>
          <w:tcPr>
            <w:tcW w:type="dxa" w:w="39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consent, incident and escalation log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PM / legal log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 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No historical client conversion, margin or media-performance data was supplied. Targets are therefore working assumptions to be replaced during discovery; all personal or CRM data requires client-approved lawful basis, notice, retention and access controls.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Risk, Compliance &amp; Safety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61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 / performance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No saving, uptime, output, financing or payback claim without substantiation and client legal approval.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+ technical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Permits / venue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All venue, authority, neighbourhood, site and public-activation permissions are proposed/TBC until written confirmation.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venue / local authority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/ build safety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engineering, risk assessment, load plan, fire route and trained crew required before build.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HSE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Privacy / CRM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consent, opt-out, limited fields, retention rule and named data owner; no contact scraping.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data owner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/ rights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Written release, territory, term, media, music, location and voice usage rights before publication.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marketing + production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Cultural / calendar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Avoid holiday assumptions and obtain cultural-sensitivity review; do not imply government affiliation.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+ local reviewer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 safeguarding</w:t>
            </w:r>
          </w:p>
        </w:tc>
        <w:tc>
          <w:tcPr>
            <w:tcW w:type="dxa" w:w="61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Use informed consent, non-coercive participation, safeguarding protocol and transparent selection language.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CSR / safeguarding lead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Design / Experience Package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Separate design files are supplied as: (1) labelled sketch package, source SVG + client-viewable PNG; and (2) conceptual isometric 3D-style package, source SVG + client-viewable PNG. Each includes a hero perspective, front/stage elevation, plan/top view and detail view. These are visual concepts only, not construction drawings, electrical schematics or supplier-engineered specifications.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SPECIFICATION</w:t>
            </w:r>
          </w:p>
        </w:tc>
        <w:tc>
          <w:tcPr>
            <w:tcW w:type="dxa" w:w="518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DESIGN INTENT</w:t>
            </w:r>
          </w:p>
        </w:tc>
        <w:tc>
          <w:tcPr>
            <w:tcW w:type="dxa" w:w="25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STATUS / DEPENDENCY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Design format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A3 landscape SVG source + 300 dpi PNG client preview; dimensions are approximate.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Concept source only; proposed/TBC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footprint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Approx. 8m x 8m accessible listening circle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Subject to venue survey / crowd / fire route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Materials / surfaces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Powder-coated modular frame, FSC plywood or equivalent counters, tension fabric, non-slip vinyl, recyclable signage.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samples and structural method TBC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furniture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Low-glare LED practicals, movable stools/counters, accessible seating, labelled demonstration plinths.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Electrical load and fixture placement subject to engineering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Wayfinding / zones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Welcome, proof/demo, consultation, consent/registration, product/talent and exit-feedback zones.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Final audience flow subject to site and client approval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Sightlines / limitations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Open front, 1.2m primary sightline and protected technical rear; no live operation or load representation without qualified supplier design.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Lead time: 4–8 weeks after approvals; complexity: medium to high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Approvals</w:t>
            </w:r>
          </w:p>
        </w:tc>
        <w:tc>
          <w:tcPr>
            <w:tcW w:type="dxa" w:w="51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brand/legal, venue, HSE, electrical supplier/engineer, landlord/authority where applicable, insurance and production house.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before procurement or build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Commercial Video Treatment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Mood: humane confidence; vibe: precise but warm; emotional arc: disruption → recognition → agency → forward movement.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Story premise: Rather than arriving with an answer, a facilitator asks one quiet question and lets community voices define the frame.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VO: “Start with what a community says it needs. Start with the work that matters. Ask the right question. Take the next step.” Dialogue is natural Myanmar/English as approved, never scripted as a testimonial. On-screen copy: “A responsible energy conversation begins by listening.” / “Share a priority through the approved participation channel.”.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50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SHOT</w:t>
            </w:r>
          </w:p>
        </w:tc>
        <w:tc>
          <w:tcPr>
            <w:tcW w:type="dxa" w:w="7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STORY BEAT</w:t>
            </w:r>
          </w:p>
        </w:tc>
        <w:tc>
          <w:tcPr>
            <w:tcW w:type="dxa" w:w="136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79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172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CAMERA</w:t>
            </w:r>
          </w:p>
        </w:tc>
        <w:tc>
          <w:tcPr>
            <w:tcW w:type="dxa" w:w="28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DIRECTION / DESIGN / SOUND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0–4s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working moment meets an interruption cue.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Proposed/TBC Proposed/TBC accessible community venue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Dawn / late afternoon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→ medium; 50mm; shallow DoF; slow push-in.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Talent pauses naturally; no distress performance. Practical work props; motivated window light; room tone.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4–9s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audience tension becomes visible through one human decision.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Same / controlled set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profile; 35mm; soft DoF; lateral slider.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glance to task; restrained blocking; neutral wardrobe; warm practicals; clean dialogue capture.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9–15s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question reframes the problem.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Proof or UI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Over-shoulder; 50mm; focus rack; gentle tilt.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 marks critical task or taps UI. Hero prop is generic until client product clearance. Soft key and graphic accent.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15–22s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proposed experience makes the next step tangible.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Demo / consultation zone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24mm; deeper DoF; controlled orbit.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Facilitator guides, never hard-sells. Labelled proof surfaces, minimal furniture, accessible sightline.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22–30s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 calm proof detail earns attention.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Technical detail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Macro 85mm; shallow DoF; locked-off.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Hands only; no technical result implied. Practical LEDs; foley of click, paper, or interface tap.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30–38s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protagonist chooses a client-approved next step.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Booking / briefing moment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Day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Medium front; 50mm; gentle handheld stabilised move.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Consent is visible and unhurried. Clear bilingual copy; quiet score begins to resolve.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38–48s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The working day resumes with a feeling of agency—not a guarantee.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setting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Golden hour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Wide 35mm; moderate DoF; rising crane/gimbal.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ensemble blocking, no staged customer claim. Warm grade, room ambience and restrained rhythmic edit.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7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48–60s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Tagline and CTA land with an accessible clear end card.</w:t>
            </w:r>
          </w:p>
        </w:tc>
        <w:tc>
          <w:tcPr>
            <w:tcW w:type="dxa" w:w="13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Graphic end card</w:t>
            </w:r>
          </w:p>
        </w:tc>
        <w:tc>
          <w:tcPr>
            <w:tcW w:type="dxa" w:w="7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N/A</w:t>
            </w:r>
          </w:p>
        </w:tc>
        <w:tc>
          <w:tcPr>
            <w:tcW w:type="dxa" w:w="17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graphic; no lens; high-contrast hierarchy.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Client-approved logo/product only. Subtitles on; descriptive audio; 16:9/9:16/1:1 versions; legal line only after approval.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Craft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56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TREATMENT STANDARD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Camera / framing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Cinema-style 4K capture; 24/35/50/85mm prime set; intentional shallow focus only where it preserves story clarity.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Realistic Myanmar work texture, uncluttered surface language, generic/unbranded product placeholders until cleared, no imitation of competitor design.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Wardrobe / talent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Everyday professional wardrobe; restrained palette; natural movement; no unsafe behaviour or unapproved technician portrayal.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Lighting / colour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Warm functional practicals, controlled daylight, cobalt or solar-gold accent; natural skin tone; gentle contrast; avoid exaggerated greenwashing cues.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Sound / music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ambience, clean boom/lav recording where dialogue is used, original/licensed minimalist pulse, foley, captions and optional audio description.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 / VFX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Purposeful 2–4 second edit rhythm, match cuts and graphic callouts; only practical effects or approved subtle VFX; no fabricated dashboard or performance data.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Accessibility / versions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Burned-in and sidecar Myanmar/English subtitles, contrast-tested supers, audio-description-ready master, 16:9 / 9:16 / 1:1 cutdowns, 6s / 15s / 30s / 60s deliverables.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Masters / rights</w:t>
            </w:r>
          </w:p>
        </w:tc>
        <w:tc>
          <w:tcPr>
            <w:tcW w:type="dxa" w:w="756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4K ProRes master, H.264 web masters, project archive, clean textless plate where feasible. Usage requires written approval for talent, music, location, product, logo, script and language territory/term.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Workflow, Production Gates &amp; Approval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23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180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468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APPROVAL / DEPENDENCY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Brief &amp; strategy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strategy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tension, audience, objective, KPI and exclusions.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Treatment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creative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concept territory, tagline, tone and proposed/TBCs.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Script &amp; storyboard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legal/technical approves all claims, dialogue, supers and CTA.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Casting / talent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approves talent, wardrobe, language suitability, release and term.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Location &amp; permit checks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/ client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Venue, authority and site owner confirmation; no assumption.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06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design &amp; engineering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Supplier / engineer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Build, electrical, safety, materials and load plan clearance.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07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Call sheet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confirms key attendance, safety, schedule and escalation owner.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08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Shoot / activation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 + 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Live issue escalation and daily client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09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Data backup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Production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Dual backup, checksum log and secure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Offline / fine cut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Editor / ZYNTH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Creative and factual review; version control.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11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Colour &amp; sound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review of grade, mix, captions and accessibility.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12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Legal / compliance review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legal / technical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Claims, privacy, rights and required disclosure sign-off.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13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Language adaptation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copy reviewer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Natural Unicode Myanmar client-facing copy approval.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14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Master export / delivery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Post house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Approved master and cutdown inventory handoff.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15</w:t>
            </w:r>
          </w:p>
        </w:tc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Archive &amp; learnings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ZYNTH PM</w:t>
            </w:r>
          </w:p>
        </w:tc>
        <w:tc>
          <w:tcPr>
            <w:tcW w:type="dxa" w:w="46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Source archive, consent/rights log and KPI readout.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Source Log &amp; Sourced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576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432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RETAINED FINDING / LIMIT</w:t>
            </w:r>
          </w:p>
        </w:tc>
        <w:tc>
          <w:tcPr>
            <w:tcW w:type="dxa" w:w="2664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URL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S01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Reuters (14 Nov 2025)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solar adoption amid unreliable supply; context only.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https://www.reuters.com/sustainability/climate-energy/war-torn-myanmar-embraces-solar-tackle-power-crisis-2025-11-14/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S04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Global New Light of Myanmar (25 Jul 2026)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Published state context on solar use and technology-management discussion; not an approval.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https://www.gnlm.com.mm/efficiently-generate-solar-energy-for-the-state/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S05</w:t>
            </w:r>
          </w:p>
        </w:tc>
        <w:tc>
          <w:tcPr>
            <w:tcW w:type="dxa" w:w="187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Myanmar Ministry of Foreign Affairs / Myanmar National Portal</w:t>
            </w:r>
          </w:p>
        </w:tc>
        <w:tc>
          <w:tcPr>
            <w:tcW w:type="dxa" w:w="43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Official 2026 Q4 holiday dates used only as timing guardrails.</w:t>
            </w:r>
          </w:p>
        </w:tc>
        <w:tc>
          <w:tcPr>
            <w:tcW w:type="dxa" w:w="26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https://www.mofa.gov.mm/about-myanmar/public-holidays/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5D6A75"/>
          <w:sz w:val="17"/>
        </w:rPr>
        <w:t>Sourced context supports market relevance and Q4 timing guardrails. Audience sizes, conversion rates, incremental gross contribution, programme scope, package budgets, project schedule and break-even are ZYNTH planning assumptions only; they must be recalibrated to client data and supplier quotes.</w:t>
      </w:r>
    </w:p>
    <w:p>
      <w:pPr>
        <w:spacing w:before="220" w:after="80"/>
      </w:pPr>
      <w:r>
        <w:rPr>
          <w:rFonts w:ascii="Aptos Display" w:hAnsi="Aptos Display" w:eastAsia="Noto Sans Myanmar"/>
          <w:b/>
          <w:color w:val="0E3150"/>
          <w:sz w:val="30"/>
        </w:rPr>
        <w:t>Approval Ask</w:t>
      </w:r>
    </w:p>
    <w:p>
      <w:pPr>
        <w:spacing w:after="80" w:line="252" w:lineRule="auto"/>
      </w:pPr>
      <w:r>
        <w:rPr>
          <w:rFonts w:ascii="Aptos" w:hAnsi="Aptos" w:eastAsia="Noto Sans Myanmar"/>
          <w:i w:val="0"/>
          <w:sz w:val="18"/>
        </w:rPr>
        <w:t>Approve or amend the commercial tension, target audience, conversion mechanism, Q4 timing window, Recommended planning envelope, measurement access, claims boundary and the proposed/TBC production route. Authorise the next gate only after client legal, technical, data, venue and procurement owners are named.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6408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DECISION REQUESTED</w:t>
            </w:r>
          </w:p>
        </w:tc>
        <w:tc>
          <w:tcPr>
            <w:tcW w:type="dxa" w:w="3240"/>
            <w:shd w:fill="0E31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Proceed to discovery and supplier/venue verification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Approve / Amend / Hold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only the agreed planning-envelope tranche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7FAFC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Lean / Recommended / Flagship / TBC</w:t>
            </w:r>
          </w:p>
        </w:tc>
      </w:tr>
      <w:tr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Confirm named approval owners and turnaround</w:t>
            </w:r>
          </w:p>
        </w:tc>
        <w:tc>
          <w:tcPr>
            <w:tcW w:type="dxa" w:w="324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Client to nominate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Aptos" w:hAnsi="Aptos" w:eastAsia="Noto Sans Myanmar"/>
          <w:i/>
          <w:color w:val="A53A38"/>
          <w:sz w:val="17"/>
        </w:rPr>
        <w:t>Unresolved TBCs: client brand/product, target lists, venue/site, dates, partner/creator/talent, production house, engineering, permits, rights, supplier quotes, data governance, claims evidence, schedule and signatory owners.</w:t>
      </w:r>
    </w:p>
    <w:sectPr w:rsidR="00FC693F" w:rsidRPr="0006063C" w:rsidSect="00034616">
      <w:footerReference w:type="default" r:id="rId9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A75"/>
        <w:sz w:val="16"/>
      </w:rPr>
      <w:t xml:space="preserve">ZYNTH • CONFIDENTIAL PLANNING DOCUMENT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Noto Sans Myanmar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Noto Sans Myanmar"/>
      <w:b/>
      <w:bCs/>
      <w:color w:val="0E31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Noto Sans Myanmar"/>
      <w:b/>
      <w:color w:val="0E315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