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E2A744"/>
          <w:sz w:val="16"/>
        </w:rPr>
        <w:t>ZYNTH TWO-HOUR BILINGUAL PRODUCTION PLAYBOOK</w:t>
      </w:r>
    </w:p>
    <w:p>
      <w:r>
        <w:rPr>
          <w:rFonts w:ascii="Aptos Display" w:hAnsi="Aptos Display" w:eastAsia="Noto Sans Myanmar"/>
          <w:b/>
          <w:color w:val="0E3150"/>
          <w:sz w:val="46"/>
        </w:rPr>
        <w:t>The 100-Hour Question</w:t>
      </w:r>
    </w:p>
    <w:p>
      <w:pPr>
        <w:spacing w:after="180"/>
      </w:pPr>
      <w:r>
        <w:rPr>
          <w:rFonts w:ascii="Aptos" w:hAnsi="Aptos" w:eastAsia="Noto Sans Myanmar"/>
          <w:color w:val="5D6A75"/>
          <w:sz w:val="22"/>
        </w:rPr>
        <w:t>နာရီ ၁၀၀ ရဲ့ မေးခွန်း</w:t>
      </w:r>
    </w:p>
    <w:p>
      <w:pPr>
        <w:spacing w:before="300" w:after="280"/>
      </w:pPr>
      <w:r>
        <w:rPr>
          <w:rFonts w:ascii="Aptos Display" w:hAnsi="Aptos Display" w:eastAsia="Noto Sans Myanmar"/>
          <w:b/>
          <w:color w:val="E2A744"/>
          <w:sz w:val="32"/>
        </w:rPr>
        <w:t>Good decisions deserve a better question.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676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Industry / Industry Code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Energy and solar adoption / energy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Proposal format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Proof-led content series and monitored social challenge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Batch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ZYNTH-20260821-ENERGY-BILINGUAL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Document version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v1.0 — planning draft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Prepared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21 August 2026 (UTC)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Source status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New ZYNTH planning concept; no client, venue, partner or supplier appointment is implied.</w:t>
            </w:r>
          </w:p>
        </w:tc>
      </w:tr>
    </w:tbl>
    <w:p>
      <w:pPr>
        <w:spacing w:after="20"/>
      </w:pPr>
    </w:p>
    <w:p/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This is a planning document, not a supplier quotation, financial guarantee, legal approval, permit confirmation, engineering drawing, performance warranty or partnership announcement. All named places, talent, production houses, rights, permits, engineering specifications and media inventory remain proposed/TBC until independently verified and client-approved.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Executive Overview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Proof-led content series and monitored social challenge built for a client-selected energy or solar brand. The concept turns the commercial tension—performance claims can blur together when buyers cannot see how a solution is evaluated in normal working conditions.—into a consented next step: Each episode ends with a question checklist and a voluntary booking prompt, never a public endurance or performance guarantee.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3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STRATEGIC FIELD</w:t>
            </w:r>
          </w:p>
        </w:tc>
        <w:tc>
          <w:tcPr>
            <w:tcW w:type="dxa" w:w="727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PROPOSAL RESPONSE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Commercial tension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Performance claims can blur together when buyers cannot see how a solution is evaluated in normal working conditions.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Creative territory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Ask for the Evidence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Behaviour change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Move from passive video viewing to a consented request for a verification-oriented consultation.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Conversion mechanism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Each episode ends with a question checklist and a voluntary booking prompt, never a public endurance or performance guarantee.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Core message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Do not accept a promise you cannot interrogate.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CTA example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Request the buyer question checklist.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Audience Insight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A transparent question is more credible than a grand promise: what do we need to observe, document and verify before a buyer decides?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Audience Behaviour Change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Move from passive video viewing to a consented request for a verification-oriented consultation.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Audience Journey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94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77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EXPERIENCE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1. See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Recognises a familiar interruption or decision friction.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2. Understand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Do not accept a promise you cannot interrogate.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3. Experience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Receives a guided, safe proof moment with claims bounded by approvals.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4. Choose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Request the buyer question checklist.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5. Continue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named owner follows up only where consent and client governance permit.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Seasonal / Special-Day Rationale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Proposed for late November through December 2026 as a Q4 proof-and-planning content series; challenge mechanic and claims review TBC.</w:t>
      </w: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The only dated Q4 public calendar references used in this proposal are official timing cues; they create no event right, sponsor entitlement, public-activation approval or permit.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Experience / Campaign Plan</w:t>
      </w:r>
    </w:p>
    <w:p>
      <w:pPr>
        <w:pStyle w:val="ListBullet"/>
        <w:spacing w:after="40"/>
      </w:pPr>
      <w:r>
        <w:rPr>
          <w:rFonts w:ascii="Aptos" w:hAnsi="Aptos" w:eastAsia="Noto Sans Myanmar"/>
          <w:sz w:val="18"/>
        </w:rPr>
        <w:t>Produce a six-episode editorial series following questions, not claimed results.</w:t>
      </w:r>
    </w:p>
    <w:p>
      <w:pPr>
        <w:pStyle w:val="ListBullet"/>
        <w:spacing w:after="40"/>
      </w:pPr>
      <w:r>
        <w:rPr>
          <w:rFonts w:ascii="Aptos" w:hAnsi="Aptos" w:eastAsia="Noto Sans Myanmar"/>
          <w:sz w:val="18"/>
        </w:rPr>
        <w:t>Run a monitored social prompt inviting users to share their own question, with moderation and participation terms before launch.</w:t>
      </w:r>
    </w:p>
    <w:p>
      <w:pPr>
        <w:pStyle w:val="ListBullet"/>
        <w:spacing w:after="40"/>
      </w:pPr>
      <w:r>
        <w:rPr>
          <w:rFonts w:ascii="Aptos" w:hAnsi="Aptos" w:eastAsia="Noto Sans Myanmar"/>
          <w:sz w:val="18"/>
        </w:rPr>
        <w:t>Route high-intent requests to a client-approved consultation flow with a record of consent.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Content System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Six 45-second editorial films, 12 vertical cutdowns, question cards, a buyer checklist and a moderation playbook.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72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DELIVERABLE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Hero asset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 × 45–60 second commercial video with 16:9, 9:16 and 1:1 masters.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Explainers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3–6 × 10–20 second proof, question or journey cutdowns.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Conversion assets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Landing/registration/CRM or event follow-up assets subject to data and legal review.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Measurement assets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UTM/QR/event tags, consent log and client-approved dashboard fields.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Talent Logic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Use an independent presenter and technical reviewer only after claims, qualifications, script and usage approvals; both proposed/TBC.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Production Requirements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Small controlled studio plus approved technical set, precision macro camera package, product placeholders until supplied, subtitles, accessibility copy and moderation desk.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Three Planning Budget Packages</w:t>
      </w: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All MMK figures are non-binding planning envelopes, not supplier quotations. Taxes are excluded/TBC at the applicable rate; scope, timing, venue, engineering, travel, media, talent, rights, freight and permits can change the final cost.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51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23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NON-TAX MMK</w:t>
            </w:r>
          </w:p>
        </w:tc>
        <w:tc>
          <w:tcPr>
            <w:tcW w:type="dxa" w:w="59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PLANNING INTENT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Lean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16,800,000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Compact proof / one core format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Recommended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34,200,000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Balanced production, content and conversion operations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Flagship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63,400,000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Expanded footprint, asset suite and contingency depth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6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Lean BREAKDOWN</w:t>
            </w:r>
          </w:p>
        </w:tc>
        <w:tc>
          <w:tcPr>
            <w:tcW w:type="dxa" w:w="30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MMK / STATUS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Pass-through production / media / suppliers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11,760,000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strategy, creative, PM and production fee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3,360,000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Contingency (uncommitted; client release required)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1,680,000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Taxes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Excluded / TBC at applicable rate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Non-tax planning envelope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16,800,000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6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Recommended BREAKDOWN</w:t>
            </w:r>
          </w:p>
        </w:tc>
        <w:tc>
          <w:tcPr>
            <w:tcW w:type="dxa" w:w="30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MMK / STATUS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Pass-through production / media / suppliers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23,940,000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strategy, creative, PM and production fee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6,840,000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Contingency (uncommitted; client release required)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3,420,000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Taxes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Excluded / TBC at applicable rate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Non-tax planning envelope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34,200,000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6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Flagship BREAKDOWN</w:t>
            </w:r>
          </w:p>
        </w:tc>
        <w:tc>
          <w:tcPr>
            <w:tcW w:type="dxa" w:w="30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MMK / STATUS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Pass-through production / media / suppliers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44,380,000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strategy, creative, PM and production fee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12,680,000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Contingency (uncommitted; client release required)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6,340,000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Taxes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Excluded / TBC at applicable rate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Non-tax planning envelope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63,400,000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Scenario-Based Commercial Outcomes &amp; Break-Even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12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36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QUALIFIED LEADS</w:t>
            </w:r>
          </w:p>
        </w:tc>
        <w:tc>
          <w:tcPr>
            <w:tcW w:type="dxa" w:w="115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ASSUMED CLOSE</w:t>
            </w:r>
          </w:p>
        </w:tc>
        <w:tc>
          <w:tcPr>
            <w:tcW w:type="dxa" w:w="12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EXPECTED CLOSES</w:t>
            </w:r>
          </w:p>
        </w:tc>
        <w:tc>
          <w:tcPr>
            <w:tcW w:type="dxa" w:w="23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INCREMENTAL CONTRIBUTION</w:t>
            </w:r>
          </w:p>
        </w:tc>
        <w:tc>
          <w:tcPr>
            <w:tcW w:type="dxa" w:w="12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ROI vs Recommended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Conservative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16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9%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1.4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11,520,000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-66%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Base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38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15%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5.7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45,600,000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33%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Upside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72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21%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15.1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120,960,000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254%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8"/>
        </w:rPr>
        <w:t>Recommended-package break-even occurs at 5 incremental closed deal(s) at the assumed incremental gross contribution of MMK 8,000,000 per closed deal. This is a planning equation, not a revenue, performance or financial guarantee.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KPI Scorecard &amp;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8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KPI</w:t>
            </w:r>
          </w:p>
        </w:tc>
        <w:tc>
          <w:tcPr>
            <w:tcW w:type="dxa" w:w="396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PLANNING TARGET / DEFINITION</w:t>
            </w:r>
          </w:p>
        </w:tc>
        <w:tc>
          <w:tcPr>
            <w:tcW w:type="dxa" w:w="223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165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CADENCE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Reach / invitations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Client-approved reach and invitation delivery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Platform/event evidence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Weekly / event close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Engaged proof actions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Demo completion, video completion or UI progress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QR / analytics event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Daily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Qualified leads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Base planning scenario: 38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Consent log + qualification fields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Daily / weekly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Booked next step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Assessment, survey, workshop or decision sprint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CRM owner status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Weekly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Commercial outcome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Client-defined qualified opportunity and closed-won contribution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CRM; restricted access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Monthly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Trust / safety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Claims, consent, incident and escalation log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PM / legal log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Real time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No historical client conversion, margin or media-performance data was supplied. Targets are therefore working assumptions to be replaced during discovery; all personal or CRM data requires client-approved lawful basis, notice, retention and access controls.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Risk, Compliance &amp; Safety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72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61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18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Claims / performance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 saving, uptime, output, financing or payback claim without substantiation and client legal approval.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legal + technical owner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Permits / venue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All venue, authority, neighbourhood, site and public-activation permissions are proposed/TBC until written confirmation.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+ venue / local authority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Electrical / build safety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Supplier engineering, risk assessment, load plan, fire route and trained crew required before build.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+ HSE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Privacy / CRM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Use consent, opt-out, limited fields, retention rule and named data owner; no contact scraping.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data owner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Talent / rights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Written release, territory, term, media, music, location and voice usage rights before publication.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marketing + production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Cultural / calendar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Avoid holiday assumptions and obtain cultural-sensitivity review; do not imply government affiliation.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+ local reviewer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Community safeguarding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Use informed consent, non-coercive participation, safeguarding protocol and transparent selection language.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CSR / safeguarding lead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Design / Experience Package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Separate design files are supplied as: (1) labelled sketch package, source SVG + client-viewable PNG; and (2) conceptual isometric 3D-style package, source SVG + client-viewable PNG. Each includes a hero perspective, front/stage elevation, plan/top view and detail view. These are visual concepts only, not construction drawings, electrical schematics or supplier-engineered specifications.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1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518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DESIGN INTENT</w:t>
            </w:r>
          </w:p>
        </w:tc>
        <w:tc>
          <w:tcPr>
            <w:tcW w:type="dxa" w:w="25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STATUS / DEPENDENCY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Design format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A3 landscape SVG source + 300 dpi PNG client preview; dimensions are approximate.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Concept source only; proposed/TBC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Approx. footprint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Small controlled studio plus approved technical set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Subject to venue survey / crowd / fire route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Materials / surfaces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Powder-coated modular frame, FSC plywood or equivalent counters, tension fabric, non-slip vinyl, recyclable signage.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Supplier samples and structural method TBC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Lighting / furniture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Low-glare LED practicals, movable stools/counters, accessible seating, labelled demonstration plinths.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Electrical load and fixture placement subject to engineering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Wayfinding / zones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Welcome, proof/demo, consultation, consent/registration, product/talent and exit-feedback zones.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Final audience flow subject to site and client approval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Sightlines / limitations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Open front, 1.2m primary sightline and protected technical rear; no live operation or load representation without qualified supplier design.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Lead time: 4–8 weeks after approvals; complexity: medium to high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Approvals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brand/legal, venue, HSE, electrical supplier/engineer, landlord/authority where applicable, insurance and production house.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Required before procurement or build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Commercial Video Treatment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Mood: humane confidence; vibe: precise but warm; emotional arc: disruption → recognition → agency → forward movement.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Story premise: A series of beautiful product claims dissolves into one grounded question: 'How would you verify that?'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VO: “Good decisions deserve a better question. Start with the work that matters. Ask the right question. Take the next step.” Dialogue is natural Myanmar/English as approved, never scripted as a testimonial. On-screen copy: “Do not accept a promise you cannot interrogate.” / “Request the buyer question checklist.”.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</w:trPr>
        <w:tc>
          <w:tcPr>
            <w:tcW w:type="dxa" w:w="5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SHOT</w:t>
            </w:r>
          </w:p>
        </w:tc>
        <w:tc>
          <w:tcPr>
            <w:tcW w:type="dxa" w:w="7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172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STORY BEAT</w:t>
            </w:r>
          </w:p>
        </w:tc>
        <w:tc>
          <w:tcPr>
            <w:tcW w:type="dxa" w:w="136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79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172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CAMERA</w:t>
            </w:r>
          </w:p>
        </w:tc>
        <w:tc>
          <w:tcPr>
            <w:tcW w:type="dxa" w:w="288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DIRECTION / DESIGN / SOUND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01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0–4s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working moment meets an interruption cue.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Proposed/TBC Proposed/TBC studio and controlled technical demonstration set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Dawn / late afternoon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Macro → medium; 50mm; shallow DoF; slow push-in.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Talent pauses naturally; no distress performance. Practical work props; motivated window light; room tone.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02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4–9s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audience tension becomes visible through one human decision.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Same / controlled set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Medium profile; 35mm; soft DoF; lateral slider.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Natural glance to task; restrained blocking; neutral wardrobe; warm practicals; clean dialogue capture.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03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9–15s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question reframes the problem.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Proof or UI moment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Over-shoulder; 50mm; focus rack; gentle tilt.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Hand marks critical task or taps UI. Hero prop is generic until client product clearance. Soft key and graphic accent.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04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15–22s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proposed experience makes the next step tangible.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Demo / consultation zone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Wide 24mm; deeper DoF; controlled orbit.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Facilitator guides, never hard-sells. Labelled proof surfaces, minimal furniture, accessible sightline.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05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22–30s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calm proof detail earns attention.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Technical detail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Macro 85mm; shallow DoF; locked-off.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Hands only; no technical result implied. Practical LEDs; foley of click, paper, or interface tap.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06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30–38s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protagonist chooses a client-approved next step.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Booking / briefing moment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Medium front; 50mm; gentle handheld stabilised move.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Consent is visible and unhurried. Clear bilingual copy; quiet score begins to resolve.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07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38–48s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working day resumes with a feeling of agency—not a guarantee.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Original setting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Golden hour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Wide 35mm; moderate DoF; rising crane/gimbal.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Natural ensemble blocking, no staged customer claim. Warm grade, room ambience and restrained rhythmic edit.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08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48–60s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Tagline and CTA land with an accessible clear end card.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Graphic end card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N/A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Static graphic; no lens; high-contrast hierarchy.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Client-approved logo/product only. Subtitles on; descriptive audio; 16:9/9:16/1:1 versions; legal line only after approval.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Craft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08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56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TREATMENT STANDARD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Camera / framing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Cinema-style 4K capture; 24/35/50/85mm prime set; intentional shallow focus only where it preserves story clarity.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design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Realistic Myanmar work texture, uncluttered surface language, generic/unbranded product placeholders until cleared, no imitation of competitor design.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Wardrobe / talent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Everyday professional wardrobe; restrained palette; natural movement; no unsafe behaviour or unapproved technician portrayal.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Lighting / colour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Warm functional practicals, controlled daylight, cobalt or solar-gold accent; natural skin tone; gentle contrast; avoid exaggerated greenwashing cues.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Sound / music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Location ambience, clean boom/lav recording where dialogue is used, original/licensed minimalist pulse, foley, captions and optional audio description.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Edit / VFX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Purposeful 2–4 second edit rhythm, match cuts and graphic callouts; only practical effects or approved subtle VFX; no fabricated dashboard or performance data.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Accessibility / versions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Burned-in and sidecar Myanmar/English subtitles, contrast-tested supers, audio-description-ready master, 16:9 / 9:16 / 1:1 cutdowns, 6s / 15s / 30s / 60s deliverables.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Masters / rights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4K ProRes master, H.264 web masters, project archive, clean textless plate where feasible. Usage requires written approval for talent, music, location, product, logo, script and language territory/term.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Workflow, Production Gates &amp; Approval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5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23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18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468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APPROVAL / DEPENDENCY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01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Brief &amp; strategy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approves tension, audience, objective, KPI and exclusions.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02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Treatment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creative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approves concept territory, tagline, tone and proposed/TBCs.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03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Script &amp; storyboard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/ ZYNTH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legal/technical approves all claims, dialogue, supers and CTA.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04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Casting / talent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approves talent, wardrobe, language suitability, release and term.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05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Location &amp; permit checks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/ client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Venue, authority and site owner confirmation; no assumption.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06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design &amp; engineering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Supplier / engineer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Build, electrical, safety, materials and load plan clearance.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07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Call sheet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confirms key attendance, safety, schedule and escalation owner.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08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Shoot / activation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+ ZYNTH PM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Live issue escalation and daily client sign-off.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09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Data backup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Dual backup, checksum log and secure handoff.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10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Offline / fine cut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Editor / ZYNTH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Creative and factual review; version control.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11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Colour &amp; sound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Post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review of grade, mix, captions and accessibility.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12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Legal / compliance review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legal / technical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Claims, privacy, rights and required disclosure sign-off.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13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Language adaptation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Myanmar copy reviewer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Natural Unicode Myanmar client-facing copy approval.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14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Master export / delivery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Post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Approved master and cutdown inventory handoff.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15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Archive &amp; learnings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PM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Source archive, consent/rights log and KPI readout.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Source Log &amp; Sourced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5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7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43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RETAINED FINDING / LIMIT</w:t>
            </w:r>
          </w:p>
        </w:tc>
        <w:tc>
          <w:tcPr>
            <w:tcW w:type="dxa" w:w="266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URL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S01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Reuters (14 Nov 2025)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Myanmar solar adoption amid unreliable supply; context only.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https://www.reuters.com/sustainability/climate-energy/war-torn-myanmar-embraces-solar-tackle-power-crisis-2025-11-14/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S02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Xinhua (18 Jan 2026)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Dated 2026 Yangon solar-expo precedent; no future rights or repeat event presumed.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https://english.news.cn/20260118/765dc93ac49a481d8ffbcc1972c01516/c.html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S05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Myanmar Ministry of Foreign Affairs / Myanmar National Portal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Official 2026 Q4 holiday dates used only as timing guardrails.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https://www.mofa.gov.mm/about-myanmar/public-holidays/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S06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Livoltek YouTube expo video (reviewed 21 Aug 2026)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Visual-format reference only; conflicting date signals excluded from factual planning.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https://www.youtube.com/watch?v=9-S7urcEX2U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Sourced context supports market relevance and Q4 timing guardrails. Audience sizes, conversion rates, incremental gross contribution, programme scope, package budgets, project schedule and break-even are ZYNTH planning assumptions only; they must be recalibrated to client data and supplier quotes.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Approval Ask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Approve or amend the commercial tension, target audience, conversion mechanism, Q4 timing window, Recommended planning envelope, measurement access, claims boundary and the proposed/TBC production route. Authorise the next gate only after client legal, technical, data, venue and procurement owners are named.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40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DECISION REQUESTED</w:t>
            </w:r>
          </w:p>
        </w:tc>
        <w:tc>
          <w:tcPr>
            <w:tcW w:type="dxa" w:w="324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CLIENT RESPONSE</w:t>
            </w:r>
          </w:p>
        </w:tc>
      </w:tr>
      <w:tr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Proceed to discovery and supplier/venue verification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Approve / Amend / Hold</w:t>
            </w:r>
          </w:p>
        </w:tc>
      </w:tr>
      <w:tr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Release only the agreed planning-envelope tranche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Lean / Recommended / Flagship / TBC</w:t>
            </w:r>
          </w:p>
        </w:tc>
      </w:tr>
      <w:tr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Confirm named approval owners and turnaround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to nominate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A53A38"/>
          <w:sz w:val="17"/>
        </w:rPr>
        <w:t>Unresolved TBCs: client brand/product, target lists, venue/site, dates, partner/creator/talent, production house, engineering, permits, rights, supplier quotes, data governance, claims evidence, schedule and signatory owners.</w:t>
      </w:r>
    </w:p>
    <w:sectPr w:rsidR="00FC693F" w:rsidRPr="0006063C" w:rsidSect="00034616">
      <w:footerReference w:type="default" r:id="rId9"/>
      <w:pgSz w:w="12240" w:h="15840"/>
      <w:pgMar w:top="893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A75"/>
        <w:sz w:val="16"/>
      </w:rPr>
      <w:t xml:space="preserve">ZYNTH • CONFIDENTIAL PLANNING DOCUMENT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Noto Sans Myanmar"/>
      <w:color w:val="1721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Noto Sans Myanmar"/>
      <w:b/>
      <w:bCs/>
      <w:color w:val="0E31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Noto Sans Myanmar"/>
      <w:b/>
      <w:bCs/>
      <w:color w:val="0E31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Noto Sans Myanmar"/>
      <w:b/>
      <w:color w:val="0E315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