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Shwe Pay — The New Gold Standard</w:t>
      </w:r>
    </w:p>
    <w:p>
      <w:pPr>
        <w:spacing w:after="40"/>
      </w:pPr>
      <w:r>
        <w:rPr>
          <w:b w:val="0"/>
          <w:color w:val="9A7D1E"/>
          <w:sz w:val="19"/>
        </w:rPr>
        <w:t>Banking &amp; Finance / Fintech (digital wallet) · Myanmar (Yangon) · Integrated launch — campaign + flagship event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In a market of wallets that belong to the banks, Shwe Pay becomes the one that belongs to *you* — money that moves as fast as your ambition. **The New Gold Standard** (Shwe = gold), carried from positioning → creative → the Launch Night → the KPI line.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Hero brand film "The New Gold Standard"</w:t>
      </w:r>
    </w:p>
    <w:p>
      <w:pPr>
        <w:pStyle w:val="ListBullet"/>
      </w:pPr>
      <w:r>
        <w:t>#MyGoldStandard UGC challenge</w:t>
      </w:r>
    </w:p>
    <w:p>
      <w:pPr>
        <w:pStyle w:val="ListBullet"/>
      </w:pPr>
      <w:r>
        <w:t>"Launch Night" flagship event (150–200 + creators)</w:t>
      </w:r>
    </w:p>
    <w:p>
      <w:pPr>
        <w:pStyle w:val="ListBullet"/>
      </w:pPr>
      <w:r>
        <w:t>Gold Moves reels · 6 KOLs incl. 1 top-tier</w:t>
      </w:r>
    </w:p>
    <w:p>
      <w:pPr>
        <w:pStyle w:val="ListBullet"/>
      </w:pPr>
      <w:r>
        <w:t>OOH (Yangon) · university/mall roadshow · 8-week paid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120k–180k installs · 45–55% first-transaction activation · CPA ≤ MMK 650 · 2,000–3,500 merchants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Essential 48M · **Signature 98M (recommended)** · Flagship 168M MMK · 50% deposit · market FX.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One idea carried the whole way through; competes on meaning, not a cashback war scale would win.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