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Stay a While — Hospitality Lifestyle Campaign</w:t>
      </w:r>
    </w:p>
    <w:p>
      <w:pPr>
        <w:spacing w:after="40"/>
      </w:pPr>
      <w:r>
        <w:rPr>
          <w:b w:val="0"/>
          <w:color w:val="9A7D1E"/>
          <w:sz w:val="19"/>
        </w:rPr>
        <w:t>Hospitality, Hotels &amp; Travel · Campaign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60"/>
      </w:pPr>
      <w:r>
        <w:rPr>
          <w:b/>
          <w:color w:val="9A7D1E"/>
          <w:sz w:val="20"/>
        </w:rPr>
        <w:t>THE BIG IDEA</w:t>
      </w:r>
    </w:p>
    <w:p>
      <w:pPr>
        <w:spacing w:after="200"/>
      </w:pPr>
      <w:r>
        <w:rPr>
          <w:b w:val="0"/>
          <w:sz w:val="21"/>
        </w:rPr>
        <w:t>Sell the feeling of arrival: a lifestyle content engine + influencer stays + a direct-booking offer that beats the OTAs.</w:t>
      </w:r>
    </w:p>
    <w:p>
      <w:pPr>
        <w:spacing w:after="60"/>
      </w:pPr>
      <w:r>
        <w:rPr>
          <w:b/>
          <w:color w:val="9A7D1E"/>
          <w:sz w:val="20"/>
        </w:rPr>
        <w:t>KEY DELIVERABLES</w:t>
      </w:r>
    </w:p>
    <w:p>
      <w:pPr>
        <w:pStyle w:val="ListBullet"/>
      </w:pPr>
      <w:r>
        <w:t>Content strategy</w:t>
      </w:r>
    </w:p>
    <w:p>
      <w:pPr>
        <w:pStyle w:val="ListBullet"/>
      </w:pPr>
      <w:r>
        <w:t>Property film + reels</w:t>
      </w:r>
    </w:p>
    <w:p>
      <w:pPr>
        <w:pStyle w:val="ListBullet"/>
      </w:pPr>
      <w:r>
        <w:t>Influencer stays</w:t>
      </w:r>
    </w:p>
    <w:p>
      <w:pPr>
        <w:pStyle w:val="ListBullet"/>
      </w:pPr>
      <w:r>
        <w:t>Direct-booking offer</w:t>
      </w:r>
    </w:p>
    <w:p>
      <w:pPr>
        <w:pStyle w:val="ListBullet"/>
      </w:pPr>
      <w:r>
        <w:t>Monthly report</w:t>
      </w:r>
    </w:p>
    <w:p/>
    <w:p>
      <w:pPr>
        <w:spacing w:after="60"/>
      </w:pPr>
      <w:r>
        <w:rPr>
          <w:b/>
          <w:color w:val="9A7D1E"/>
          <w:sz w:val="20"/>
        </w:rPr>
        <w:t>KPIS</w:t>
      </w:r>
    </w:p>
    <w:p>
      <w:pPr>
        <w:spacing w:after="200"/>
      </w:pPr>
      <w:r>
        <w:rPr>
          <w:b w:val="0"/>
          <w:sz w:val="21"/>
        </w:rPr>
        <w:t>Direct bookings · social reach · RevPAR lift on offer</w:t>
      </w:r>
    </w:p>
    <w:p>
      <w:pPr>
        <w:spacing w:after="60"/>
      </w:pPr>
      <w:r>
        <w:rPr>
          <w:b/>
          <w:color w:val="9A7D1E"/>
          <w:sz w:val="20"/>
        </w:rPr>
        <w:t>INVESTMENT</w:t>
      </w:r>
    </w:p>
    <w:p>
      <w:pPr>
        <w:spacing w:after="200"/>
      </w:pPr>
      <w:r>
        <w:rPr>
          <w:b w:val="0"/>
          <w:sz w:val="21"/>
        </w:rPr>
        <w:t>MMK 20–40M/mo (~S$6–11k) · market FX, RFQ vendors, 50% deposit</w:t>
      </w:r>
    </w:p>
    <w:p>
      <w:pPr>
        <w:spacing w:after="60"/>
      </w:pPr>
      <w:r>
        <w:rPr>
          <w:b/>
          <w:color w:val="9A7D1E"/>
          <w:sz w:val="20"/>
        </w:rPr>
        <w:t>THE ZYNTH EDGE</w:t>
      </w:r>
    </w:p>
    <w:p>
      <w:pPr>
        <w:spacing w:after="200"/>
      </w:pPr>
      <w:r>
        <w:rPr>
          <w:b w:val="0"/>
          <w:sz w:val="21"/>
        </w:rPr>
        <w:t>Travel storytelling that converts.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