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Your Future, Enrolled — Education Funnel</w:t>
      </w:r>
    </w:p>
    <w:p>
      <w:pPr>
        <w:spacing w:after="40"/>
      </w:pPr>
      <w:r>
        <w:rPr>
          <w:b w:val="0"/>
          <w:color w:val="9A7D1E"/>
          <w:sz w:val="19"/>
        </w:rPr>
        <w:t>Education &amp; EdTech · Campaign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60"/>
      </w:pPr>
      <w:r>
        <w:rPr>
          <w:b/>
          <w:color w:val="9A7D1E"/>
          <w:sz w:val="20"/>
        </w:rPr>
        <w:t>THE BIG IDEA</w:t>
      </w:r>
    </w:p>
    <w:p>
      <w:pPr>
        <w:spacing w:after="200"/>
      </w:pPr>
      <w:r>
        <w:rPr>
          <w:b w:val="0"/>
          <w:sz w:val="21"/>
        </w:rPr>
        <w:t>An enrolment engine: top-of-funnel stories + mid-funnel proof + a retargeted lead form — built to hit a cost-per-enrolment target.</w:t>
      </w:r>
    </w:p>
    <w:p>
      <w:pPr>
        <w:spacing w:after="60"/>
      </w:pPr>
      <w:r>
        <w:rPr>
          <w:b/>
          <w:color w:val="9A7D1E"/>
          <w:sz w:val="20"/>
        </w:rPr>
        <w:t>KEY DELIVERABLES</w:t>
      </w:r>
    </w:p>
    <w:p>
      <w:pPr>
        <w:pStyle w:val="ListBullet"/>
      </w:pPr>
      <w:r>
        <w:t>Funnel design</w:t>
      </w:r>
    </w:p>
    <w:p>
      <w:pPr>
        <w:pStyle w:val="ListBullet"/>
      </w:pPr>
      <w:r>
        <w:t>Story + testimonial content</w:t>
      </w:r>
    </w:p>
    <w:p>
      <w:pPr>
        <w:pStyle w:val="ListBullet"/>
      </w:pPr>
      <w:r>
        <w:t>Landing page</w:t>
      </w:r>
    </w:p>
    <w:p>
      <w:pPr>
        <w:pStyle w:val="ListBullet"/>
      </w:pPr>
      <w:r>
        <w:t>Paid search/social</w:t>
      </w:r>
    </w:p>
    <w:p>
      <w:pPr>
        <w:pStyle w:val="ListBullet"/>
      </w:pPr>
      <w:r>
        <w:t>Weekly funnel report</w:t>
      </w:r>
    </w:p>
    <w:p/>
    <w:p>
      <w:pPr>
        <w:spacing w:after="60"/>
      </w:pPr>
      <w:r>
        <w:rPr>
          <w:b/>
          <w:color w:val="9A7D1E"/>
          <w:sz w:val="20"/>
        </w:rPr>
        <w:t>KPIS</w:t>
      </w:r>
    </w:p>
    <w:p>
      <w:pPr>
        <w:spacing w:after="200"/>
      </w:pPr>
      <w:r>
        <w:rPr>
          <w:b w:val="0"/>
          <w:sz w:val="21"/>
        </w:rPr>
        <w:t>Cost-per-lead · applications · enrolments</w:t>
      </w:r>
    </w:p>
    <w:p>
      <w:pPr>
        <w:spacing w:after="60"/>
      </w:pPr>
      <w:r>
        <w:rPr>
          <w:b/>
          <w:color w:val="9A7D1E"/>
          <w:sz w:val="20"/>
        </w:rPr>
        <w:t>INVESTMENT</w:t>
      </w:r>
    </w:p>
    <w:p>
      <w:pPr>
        <w:spacing w:after="200"/>
      </w:pPr>
      <w:r>
        <w:rPr>
          <w:b w:val="0"/>
          <w:sz w:val="21"/>
        </w:rPr>
        <w:t>MMK 20–45M/mo (~S$6–13k) · market FX, RFQ vendors, 50% deposit</w:t>
      </w:r>
    </w:p>
    <w:p>
      <w:pPr>
        <w:spacing w:after="60"/>
      </w:pPr>
      <w:r>
        <w:rPr>
          <w:b/>
          <w:color w:val="9A7D1E"/>
          <w:sz w:val="20"/>
        </w:rPr>
        <w:t>THE ZYNTH EDGE</w:t>
      </w:r>
    </w:p>
    <w:p>
      <w:pPr>
        <w:spacing w:after="200"/>
      </w:pPr>
      <w:r>
        <w:rPr>
          <w:b w:val="0"/>
          <w:sz w:val="21"/>
        </w:rPr>
        <w:t>Measurement-led, not vanity reach.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