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Data That Moves You — Youth Telecom Campaign</w:t>
      </w:r>
    </w:p>
    <w:p>
      <w:pPr>
        <w:spacing w:after="40"/>
      </w:pPr>
      <w:r>
        <w:rPr>
          <w:b w:val="0"/>
          <w:color w:val="9A7D1E"/>
          <w:sz w:val="19"/>
        </w:rPr>
        <w:t>Telecom &amp; Technology · Campaign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60"/>
      </w:pPr>
      <w:r>
        <w:rPr>
          <w:b/>
          <w:color w:val="9A7D1E"/>
          <w:sz w:val="20"/>
        </w:rPr>
        <w:t>THE BIG IDEA</w:t>
      </w:r>
    </w:p>
    <w:p>
      <w:pPr>
        <w:spacing w:after="200"/>
      </w:pPr>
      <w:r>
        <w:rPr>
          <w:b w:val="0"/>
          <w:sz w:val="21"/>
        </w:rPr>
        <w:t>A 6-week social-first campaign built on a single insight: youth don't buy data, they buy the moments data unlocks. UGC creators + a challenge mechanic.</w:t>
      </w:r>
    </w:p>
    <w:p>
      <w:pPr>
        <w:spacing w:after="60"/>
      </w:pPr>
      <w:r>
        <w:rPr>
          <w:b/>
          <w:color w:val="9A7D1E"/>
          <w:sz w:val="20"/>
        </w:rPr>
        <w:t>KEY DELIVERABLES</w:t>
      </w:r>
    </w:p>
    <w:p>
      <w:pPr>
        <w:pStyle w:val="ListBullet"/>
      </w:pPr>
      <w:r>
        <w:t>Content pillars + calendar</w:t>
      </w:r>
    </w:p>
    <w:p>
      <w:pPr>
        <w:pStyle w:val="ListBullet"/>
      </w:pPr>
      <w:r>
        <w:t>8–12 reels/mo</w:t>
      </w:r>
    </w:p>
    <w:p>
      <w:pPr>
        <w:pStyle w:val="ListBullet"/>
      </w:pPr>
      <w:r>
        <w:t>Creator partnerships (tiered)</w:t>
      </w:r>
    </w:p>
    <w:p>
      <w:pPr>
        <w:pStyle w:val="ListBullet"/>
      </w:pPr>
      <w:r>
        <w:t>Meta/TikTok paid</w:t>
      </w:r>
    </w:p>
    <w:p>
      <w:pPr>
        <w:pStyle w:val="ListBullet"/>
      </w:pPr>
      <w:r>
        <w:t>Weekly performance report</w:t>
      </w:r>
    </w:p>
    <w:p/>
    <w:p>
      <w:pPr>
        <w:spacing w:after="60"/>
      </w:pPr>
      <w:r>
        <w:rPr>
          <w:b/>
          <w:color w:val="9A7D1E"/>
          <w:sz w:val="20"/>
        </w:rPr>
        <w:t>KPIS</w:t>
      </w:r>
    </w:p>
    <w:p>
      <w:pPr>
        <w:spacing w:after="200"/>
      </w:pPr>
      <w:r>
        <w:rPr>
          <w:b w:val="0"/>
          <w:sz w:val="21"/>
        </w:rPr>
        <w:t>CPM &amp; reach vs benchmark · challenge entries · SIM/plan activations</w:t>
      </w:r>
    </w:p>
    <w:p>
      <w:pPr>
        <w:spacing w:after="60"/>
      </w:pPr>
      <w:r>
        <w:rPr>
          <w:b/>
          <w:color w:val="9A7D1E"/>
          <w:sz w:val="20"/>
        </w:rPr>
        <w:t>INVESTMENT</w:t>
      </w:r>
    </w:p>
    <w:p>
      <w:pPr>
        <w:spacing w:after="200"/>
      </w:pPr>
      <w:r>
        <w:rPr>
          <w:b w:val="0"/>
          <w:sz w:val="21"/>
        </w:rPr>
        <w:t>MMK 25–45M/mo (~S$7–13k) · market FX, RFQ vendors, 50% deposit</w:t>
      </w:r>
    </w:p>
    <w:p>
      <w:pPr>
        <w:spacing w:after="60"/>
      </w:pPr>
      <w:r>
        <w:rPr>
          <w:b/>
          <w:color w:val="9A7D1E"/>
          <w:sz w:val="20"/>
        </w:rPr>
        <w:t>THE ZYNTH EDGE</w:t>
      </w:r>
    </w:p>
    <w:p>
      <w:pPr>
        <w:spacing w:after="200"/>
      </w:pPr>
      <w:r>
        <w:rPr>
          <w:b w:val="0"/>
          <w:sz w:val="21"/>
        </w:rPr>
        <w:t>Performance-creative testing framework.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