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Dry Fry — Hear the Crunch</w:t>
      </w:r>
    </w:p>
    <w:p>
      <w:pPr>
        <w:spacing w:after="40"/>
      </w:pPr>
      <w:r>
        <w:rPr>
          <w:b w:val="0"/>
          <w:color w:val="9A7D1E"/>
          <w:sz w:val="19"/>
        </w:rPr>
        <w:t>F&amp;B / QSR (fried chicken) · Myanmar (Yangon) · Brand launch — campaign + opening event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In a market of soft, greasy, same-tasting fried chicken, Dry Fry owns the one thing you can actually hear — the crunch. Dry-fried, boldly spiced, never greasy. **Hear the Crunch.**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Hero "Crunch" film (sound-first / ASMR)</w:t>
      </w:r>
    </w:p>
    <w:p>
      <w:pPr>
        <w:pStyle w:val="ListBullet"/>
      </w:pPr>
      <w:r>
        <w:t>#HearTheCrunch UGC challenge</w:t>
      </w:r>
    </w:p>
    <w:p>
      <w:pPr>
        <w:pStyle w:val="ListBullet"/>
      </w:pPr>
      <w:r>
        <w:t>"First Crunch" opening event + crunch wall</w:t>
      </w:r>
    </w:p>
    <w:p>
      <w:pPr>
        <w:pStyle w:val="ListBullet"/>
      </w:pPr>
      <w:r>
        <w:t>6 food KOLs incl. 1 top-tier</w:t>
      </w:r>
    </w:p>
    <w:p>
      <w:pPr>
        <w:pStyle w:val="ListBullet"/>
      </w:pPr>
      <w:r>
        <w:t>Delivery "crunch-box" + promo · 6-week paid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2,500–4,000 opening-week covers · 3,000–5,000 delivery orders (month 1) · 25–35% repeat-visit · cost/trial ≤ MMK 1,200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Essential 24M · **Signature 46M (recommended)** · Flagship 82M MMK · 50% deposit · market FX.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Owns a sensory territory (crunch/sound) no competitor claims — the food itself becomes the ad, built for sound-first platforms.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