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In Good Hands — Healthcare Trust Series</w:t>
      </w:r>
    </w:p>
    <w:p>
      <w:pPr>
        <w:spacing w:after="40"/>
      </w:pPr>
      <w:r>
        <w:rPr>
          <w:b w:val="0"/>
          <w:color w:val="9A7D1E"/>
          <w:sz w:val="19"/>
        </w:rPr>
        <w:t>Healthcare &amp; Pharma · Campaign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A trust-building content series: real doctors, real patient stories, calm authority — turning a hospital into the name families recommend.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6–8 patient/doctor films</w:t>
      </w:r>
    </w:p>
    <w:p>
      <w:pPr>
        <w:pStyle w:val="ListBullet"/>
      </w:pPr>
      <w:r>
        <w:t>Health-education carousels</w:t>
      </w:r>
    </w:p>
    <w:p>
      <w:pPr>
        <w:pStyle w:val="ListBullet"/>
      </w:pPr>
      <w:r>
        <w:t>Community management</w:t>
      </w:r>
    </w:p>
    <w:p>
      <w:pPr>
        <w:pStyle w:val="ListBullet"/>
      </w:pPr>
      <w:r>
        <w:t>Monthly report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Reach · sentiment · enquiry/appointment lift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20–40M/mo (~S$6–11k)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Cinematic trust films, not stock.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