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Pour Culture — Beverage Brand Activation</w:t>
      </w:r>
    </w:p>
    <w:p>
      <w:pPr>
        <w:spacing w:after="40"/>
      </w:pPr>
      <w:r>
        <w:rPr>
          <w:b w:val="0"/>
          <w:color w:val="9A7D1E"/>
          <w:sz w:val="19"/>
        </w:rPr>
        <w:t>FMCG &amp; Consumer Goods · Campaign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Turn a beverage into a scene: a shareable ritual + city activations + creator seeding, engineered for muted-feed stopping power.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Big idea + key visual</w:t>
      </w:r>
    </w:p>
    <w:p>
      <w:pPr>
        <w:pStyle w:val="ListBullet"/>
      </w:pPr>
      <w:r>
        <w:t>Activation kit (3 sites)</w:t>
      </w:r>
    </w:p>
    <w:p>
      <w:pPr>
        <w:pStyle w:val="ListBullet"/>
      </w:pPr>
      <w:r>
        <w:t>Reels + stills batch</w:t>
      </w:r>
    </w:p>
    <w:p>
      <w:pPr>
        <w:pStyle w:val="ListBullet"/>
      </w:pPr>
      <w:r>
        <w:t>Creator seeding</w:t>
      </w:r>
    </w:p>
    <w:p>
      <w:pPr>
        <w:pStyle w:val="ListBullet"/>
      </w:pPr>
      <w:r>
        <w:t>Sampling logistics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Reach &amp; engagement rate · sampling redemptions · UGC volume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30–60M (~S$9–17k)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Producer-led shoots at boutique cost.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