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In Good Hands — Healthcare Trust Series</w:t>
      </w:r>
    </w:p>
    <w:p>
      <w:pPr>
        <w:spacing w:after="40"/>
      </w:pPr>
      <w:r>
        <w:rPr>
          <w:b w:val="0"/>
          <w:color w:val="9A7D1E"/>
          <w:sz w:val="19"/>
        </w:rPr>
        <w:t>Healthcare &amp; Pharma · Campaign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A trust-building content series: real doctors, real patient stories, calm authority — turning a hospital into the name families recommend.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Content strategy</w:t>
      </w:r>
    </w:p>
    <w:p>
      <w:pPr>
        <w:pStyle w:val="ListBullet"/>
      </w:pPr>
      <w:r>
        <w:t>6–8 patient/doctor films</w:t>
      </w:r>
    </w:p>
    <w:p>
      <w:pPr>
        <w:pStyle w:val="ListBullet"/>
      </w:pPr>
      <w:r>
        <w:t>Health-education carousels</w:t>
      </w:r>
    </w:p>
    <w:p>
      <w:pPr>
        <w:pStyle w:val="ListBullet"/>
      </w:pPr>
      <w:r>
        <w:t>Community management</w:t>
      </w:r>
    </w:p>
    <w:p>
      <w:pPr>
        <w:pStyle w:val="ListBullet"/>
      </w:pPr>
      <w:r>
        <w:t>Monthly report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Reach · sentiment · enquiry/appointment lift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20–40M/mo (~S$6–11k)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Cinematic trust films, not stock.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