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The New Menu Drop — F&amp;B Social Sprint</w:t>
      </w:r>
    </w:p>
    <w:p>
      <w:pPr>
        <w:spacing w:after="40"/>
      </w:pPr>
      <w:r>
        <w:rPr>
          <w:b w:val="0"/>
          <w:color w:val="9A7D1E"/>
          <w:sz w:val="19"/>
        </w:rPr>
        <w:t>Food &amp; Beverage / Restaurant chains · Campaign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60"/>
      </w:pPr>
      <w:r>
        <w:rPr>
          <w:b/>
          <w:color w:val="9A7D1E"/>
          <w:sz w:val="20"/>
        </w:rPr>
        <w:t>THE BIG IDEA</w:t>
      </w:r>
    </w:p>
    <w:p>
      <w:pPr>
        <w:spacing w:after="200"/>
      </w:pPr>
      <w:r>
        <w:rPr>
          <w:b w:val="0"/>
          <w:sz w:val="21"/>
        </w:rPr>
        <w:t>Launch a menu like a sneaker drop: countdown, creator tastings, limited-time hooks, and reels built for the first 3 seconds.</w:t>
      </w:r>
    </w:p>
    <w:p>
      <w:pPr>
        <w:spacing w:after="60"/>
      </w:pPr>
      <w:r>
        <w:rPr>
          <w:b/>
          <w:color w:val="9A7D1E"/>
          <w:sz w:val="20"/>
        </w:rPr>
        <w:t>KEY DELIVERABLES</w:t>
      </w:r>
    </w:p>
    <w:p>
      <w:pPr>
        <w:pStyle w:val="ListBullet"/>
      </w:pPr>
      <w:r>
        <w:t>Drop concept</w:t>
      </w:r>
    </w:p>
    <w:p>
      <w:pPr>
        <w:pStyle w:val="ListBullet"/>
      </w:pPr>
      <w:r>
        <w:t>Food-styling shoot</w:t>
      </w:r>
    </w:p>
    <w:p>
      <w:pPr>
        <w:pStyle w:val="ListBullet"/>
      </w:pPr>
      <w:r>
        <w:t>10–15 reels</w:t>
      </w:r>
    </w:p>
    <w:p>
      <w:pPr>
        <w:pStyle w:val="ListBullet"/>
      </w:pPr>
      <w:r>
        <w:t>Creator tastings</w:t>
      </w:r>
    </w:p>
    <w:p>
      <w:pPr>
        <w:pStyle w:val="ListBullet"/>
      </w:pPr>
      <w:r>
        <w:t>Store POS tie-in</w:t>
      </w:r>
    </w:p>
    <w:p/>
    <w:p>
      <w:pPr>
        <w:spacing w:after="60"/>
      </w:pPr>
      <w:r>
        <w:rPr>
          <w:b/>
          <w:color w:val="9A7D1E"/>
          <w:sz w:val="20"/>
        </w:rPr>
        <w:t>KPIS</w:t>
      </w:r>
    </w:p>
    <w:p>
      <w:pPr>
        <w:spacing w:after="200"/>
      </w:pPr>
      <w:r>
        <w:rPr>
          <w:b w:val="0"/>
          <w:sz w:val="21"/>
        </w:rPr>
        <w:t>Reach · footfall on drop week · new-item mix %</w:t>
      </w:r>
    </w:p>
    <w:p>
      <w:pPr>
        <w:spacing w:after="60"/>
      </w:pPr>
      <w:r>
        <w:rPr>
          <w:b/>
          <w:color w:val="9A7D1E"/>
          <w:sz w:val="20"/>
        </w:rPr>
        <w:t>INVESTMENT</w:t>
      </w:r>
    </w:p>
    <w:p>
      <w:pPr>
        <w:spacing w:after="200"/>
      </w:pPr>
      <w:r>
        <w:rPr>
          <w:b w:val="0"/>
          <w:sz w:val="21"/>
        </w:rPr>
        <w:t>MMK 15–35M (~S$4–10k) · market FX, RFQ vendors, 50% deposit</w:t>
      </w:r>
    </w:p>
    <w:p>
      <w:pPr>
        <w:spacing w:after="60"/>
      </w:pPr>
      <w:r>
        <w:rPr>
          <w:b/>
          <w:color w:val="9A7D1E"/>
          <w:sz w:val="20"/>
        </w:rPr>
        <w:t>THE ZYNTH EDGE</w:t>
      </w:r>
    </w:p>
    <w:p>
      <w:pPr>
        <w:spacing w:after="200"/>
      </w:pPr>
      <w:r>
        <w:rPr>
          <w:b w:val="0"/>
          <w:sz w:val="21"/>
        </w:rPr>
        <w:t>Batch shoot → a month of content.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