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Your Future, Enrolled — Education Funnel</w:t>
      </w:r>
    </w:p>
    <w:p>
      <w:pPr>
        <w:spacing w:after="40"/>
      </w:pPr>
      <w:r>
        <w:rPr>
          <w:b w:val="0"/>
          <w:color w:val="9A7D1E"/>
          <w:sz w:val="19"/>
        </w:rPr>
        <w:t>Education &amp; EdTech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An enrolment engine: top-of-funnel stories + mid-funnel proof + a retargeted lead form — built to hit a cost-per-enrolment target.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Funnel design</w:t>
      </w:r>
    </w:p>
    <w:p>
      <w:pPr>
        <w:pStyle w:val="ListBullet"/>
      </w:pPr>
      <w:r>
        <w:t>Story + testimonial content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Paid search/social</w:t>
      </w:r>
    </w:p>
    <w:p>
      <w:pPr>
        <w:pStyle w:val="ListBullet"/>
      </w:pPr>
      <w:r>
        <w:t>Weekly funnel report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Cost-per-lead · applications · enrolments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20–45M/mo (~S$6–13k)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Measurement-led, not vanity reach.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