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Find Where You Belong — Property Launch</w:t>
      </w:r>
    </w:p>
    <w:p>
      <w:pPr>
        <w:spacing w:after="40"/>
      </w:pPr>
      <w:r>
        <w:rPr>
          <w:b w:val="0"/>
          <w:color w:val="9A7D1E"/>
          <w:sz w:val="19"/>
        </w:rPr>
        <w:t>Real Estate &amp; Property · Event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60"/>
      </w:pPr>
      <w:r>
        <w:rPr>
          <w:b/>
          <w:color w:val="9A7D1E"/>
          <w:sz w:val="20"/>
        </w:rPr>
        <w:t>THE BIG IDEA</w:t>
      </w:r>
    </w:p>
    <w:p>
      <w:pPr>
        <w:spacing w:after="200"/>
      </w:pPr>
      <w:r>
        <w:rPr>
          <w:b w:val="0"/>
          <w:sz w:val="21"/>
        </w:rPr>
        <w:t>A premium launch that sells a life, not a floorplan: cinematic CGI reveal, scale model moment, private investor lounge.</w:t>
      </w:r>
    </w:p>
    <w:p>
      <w:pPr>
        <w:spacing w:after="60"/>
      </w:pPr>
      <w:r>
        <w:rPr>
          <w:b/>
          <w:color w:val="9A7D1E"/>
          <w:sz w:val="20"/>
        </w:rPr>
        <w:t>KEY DELIVERABLES</w:t>
      </w:r>
    </w:p>
    <w:p>
      <w:pPr>
        <w:pStyle w:val="ListBullet"/>
      </w:pPr>
      <w:r>
        <w:t>Launch event</w:t>
      </w:r>
    </w:p>
    <w:p>
      <w:pPr>
        <w:pStyle w:val="ListBullet"/>
      </w:pPr>
      <w:r>
        <w:t>CGI film + walkthrough</w:t>
      </w:r>
    </w:p>
    <w:p>
      <w:pPr>
        <w:pStyle w:val="ListBullet"/>
      </w:pPr>
      <w:r>
        <w:t>Scale-model reveal</w:t>
      </w:r>
    </w:p>
    <w:p>
      <w:pPr>
        <w:pStyle w:val="ListBullet"/>
      </w:pPr>
      <w:r>
        <w:t>Investor collateral</w:t>
      </w:r>
    </w:p>
    <w:p>
      <w:pPr>
        <w:pStyle w:val="ListBullet"/>
      </w:pPr>
      <w:r>
        <w:t>Lead-capture system</w:t>
      </w:r>
    </w:p>
    <w:p/>
    <w:p>
      <w:pPr>
        <w:spacing w:after="60"/>
      </w:pPr>
      <w:r>
        <w:rPr>
          <w:b/>
          <w:color w:val="9A7D1E"/>
          <w:sz w:val="20"/>
        </w:rPr>
        <w:t>KPIS</w:t>
      </w:r>
    </w:p>
    <w:p>
      <w:pPr>
        <w:spacing w:after="200"/>
      </w:pPr>
      <w:r>
        <w:rPr>
          <w:b w:val="0"/>
          <w:sz w:val="21"/>
        </w:rPr>
        <w:t>Qualified leads · bookings on the night · cost-per-lead</w:t>
      </w:r>
    </w:p>
    <w:p>
      <w:pPr>
        <w:spacing w:after="60"/>
      </w:pPr>
      <w:r>
        <w:rPr>
          <w:b/>
          <w:color w:val="9A7D1E"/>
          <w:sz w:val="20"/>
        </w:rPr>
        <w:t>INVESTMENT</w:t>
      </w:r>
    </w:p>
    <w:p>
      <w:pPr>
        <w:spacing w:after="200"/>
      </w:pPr>
      <w:r>
        <w:rPr>
          <w:b w:val="0"/>
          <w:sz w:val="21"/>
        </w:rPr>
        <w:t>MMK 90–180M (~S$26–51k) · market FX, RFQ vendors, 50% deposit</w:t>
      </w:r>
    </w:p>
    <w:p>
      <w:pPr>
        <w:spacing w:after="60"/>
      </w:pPr>
      <w:r>
        <w:rPr>
          <w:b/>
          <w:color w:val="9A7D1E"/>
          <w:sz w:val="20"/>
        </w:rPr>
        <w:t>THE ZYNTH EDGE</w:t>
      </w:r>
    </w:p>
    <w:p>
      <w:pPr>
        <w:spacing w:after="200"/>
      </w:pPr>
      <w:r>
        <w:rPr>
          <w:b w:val="0"/>
          <w:sz w:val="21"/>
        </w:rPr>
        <w:t>3D/CGI edge rare in the MM/SG SME market.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