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Three Homes, One Ingredient</w:t>
      </w:r>
    </w:p>
    <w:p>
      <w:r>
        <w:rPr>
          <w:rFonts w:ascii="Noto Sans Myanmar" w:hAnsi="Noto Sans Myanmar" w:eastAsia="Noto Sans Myanmar"/>
          <w:color w:val="1A6A68"/>
          <w:sz w:val="30"/>
        </w:rPr>
        <w:t>အိမ်သုံးလုံး၊ ပါဝင်ပစ္စည်းတစ်မျိုး</w:t>
      </w:r>
    </w:p>
    <w:p>
      <w:pPr>
        <w:spacing w:before="200"/>
      </w:pPr>
      <w:r>
        <w:rPr>
          <w:b/>
          <w:color w:val="6B7280"/>
          <w:sz w:val="18"/>
        </w:rPr>
        <w:t>STANDALONE COMMERCIAL + STORYBOARD DIRECTION  •  COM-2026-FNB-001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45-second cinematic regional-ingredient brand film</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CMP-2026-FNB-001</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A familiar ingredient can feel anonymous when its people, place and uses are invisible.</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Build ingredient curiosity and route viewers to a client-approved tasting, product-story or opt-in destination.</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Origin is not a label; it is a living table.</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single ingredient lands, in sequence, on three very different tables.</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Dawn market, family kitchen and contemporary serving counter; all location/talent details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Steam, a knife on a board, a measured pour and a hand folding a leaf.</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shopper pauses at an unlabeled shelf, unsure what makes the ingredient meaningful.</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simple origin card replaces the generic label with an approved, factual story.</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Close macro work shows controlled preparation, never a health or provenance claim.</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Three hands—producer, cook and guest—each complete one small action.</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guest chooses a tasting card rather than being pressured to purchase.</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Three tables visually connect through colour and plating rhythm.</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The final table widens to show people sharing, not an attendance claim.</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On-screen facts remain placeholder text pending client source, label and legal approval.</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Discover the approved ingredient story / choose your next taste.</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