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A Better Break Has a Plan</w:t>
      </w:r>
    </w:p>
    <w:p>
      <w:r>
        <w:rPr>
          <w:rFonts w:ascii="Noto Sans Myanmar" w:hAnsi="Noto Sans Myanmar" w:eastAsia="Noto Sans Myanmar"/>
          <w:color w:val="1A6A68"/>
          <w:sz w:val="30"/>
        </w:rPr>
        <w:t>ပိုကောင်းတဲ့ နားချိန်မှာ အစီအစဉ်ရှိတယ်</w:t>
      </w:r>
    </w:p>
    <w:p>
      <w:pPr>
        <w:spacing w:before="200"/>
      </w:pPr>
      <w:r>
        <w:rPr>
          <w:b/>
          <w:color w:val="6B7280"/>
          <w:sz w:val="18"/>
        </w:rPr>
        <w:t>STANDALONE COMMERCIAL + STORYBOARD DIRECTION  •  COM-2026-FNB-004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40-second B2B workplace service film</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CMP-2026-FNB-004</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Workplace food decisions can be made without seeing the people, timing and practical needs behind them.</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Prompt workplace decision-makers to request a scoped meal or pantry conversation.</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The break is part of how work works.</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quiet office clock meets an empty break table before the team arrives.</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Workplace meeting room, serving point and break area; employer/site permission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Keyboard stop, chair movement, lids opening, water pour and low team conversation.</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An operations lead sees a generic order spreadsheet that answers none of the human questions.</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practical priority card surfaces timing, dietary information and service-flow questions.</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A service sequence is shown as simple, unobtrusive gestures, not a capacity promise.</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Different team members choose different portions and share a short moment.</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operations lead requests a client-approved scoping meeting.</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break table becomes a calm shared space before people return to work.</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A wall calendar shows recurring moments without asserting a client contract.</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No employer, dietary outcome, delivery, price, volume or service-level claim is made.</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Start a workplace meal conversation—request an approved scope.</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