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C5973D"/>
          <w:sz w:val="22"/>
        </w:rPr>
        <w:t>ZYNTH</w:t>
      </w:r>
      <w:r>
        <w:rPr>
          <w:sz w:val="17"/>
        </w:rPr>
        <w:t xml:space="preserve">  |  Myanmar-First Bilingual Production System</w:t>
      </w:r>
    </w:p>
    <w:p>
      <w:pPr>
        <w:pStyle w:val="Title"/>
      </w:pPr>
      <w:r>
        <w:t>The Table You Build</w:t>
      </w:r>
    </w:p>
    <w:p>
      <w:r>
        <w:rPr>
          <w:rFonts w:ascii="Noto Sans Myanmar" w:hAnsi="Noto Sans Myanmar" w:eastAsia="Noto Sans Myanmar"/>
          <w:color w:val="1A6A68"/>
          <w:sz w:val="30"/>
        </w:rPr>
        <w:t>သင်တည်ဆောက်တဲ့ စားပွဲ</w:t>
      </w:r>
    </w:p>
    <w:p>
      <w:pPr>
        <w:spacing w:before="200"/>
      </w:pPr>
      <w:r>
        <w:rPr>
          <w:b/>
          <w:color w:val="6B7280"/>
          <w:sz w:val="18"/>
        </w:rPr>
        <w:t>STANDALONE COMMERCIAL + STORYBOARD DIRECTION  •  COM-2026-FNB-008  •  F&amp;B / Myanmar</w:t>
      </w:r>
    </w:p>
    <w:tbl>
      <w:tblPr>
        <w:tblW w:type="auto" w:w="0"/>
        <w:jc w:val="left"/>
        <w:tblLook w:firstColumn="1" w:firstRow="1" w:lastColumn="0" w:lastRow="0" w:noHBand="0" w:noVBand="1" w:val="04A0"/>
      </w:tblPr>
      <w:tblGrid>
        <w:gridCol w:w="10512"/>
      </w:tblGrid>
      <w:tr>
        <w:tc>
          <w:tcPr>
            <w:tcW w:type="dxa" w:w="10512"/>
            <w:shd w:fill="EAF2F1"/>
            <w:vAlign w:val="center"/>
          </w:tcPr>
          <w:p>
            <w:pPr>
              <w:spacing w:after="0"/>
            </w:pPr>
            <w:r/>
            <w:r>
              <w:rPr>
                <w:rFonts w:ascii="Noto Sans Myanmar" w:hAnsi="Noto Sans Myanmar" w:eastAsia="Noto Sans Myanmar"/>
                <w:b/>
                <w:color w:val="153B4D"/>
                <w:sz w:val="18"/>
              </w:rPr>
              <w:t>Client-ready planning proposal. All client, venue, chef, supplier, food-safety, product, claims, price, inventory, right, permit and partnership elements are proposed/TBC until written approval.</w:t>
            </w:r>
          </w:p>
        </w:tc>
      </w:tr>
    </w:tbl>
    <w:p>
      <w:pPr>
        <w:pStyle w:val="Heading1"/>
      </w:pPr>
      <w:r>
        <w:t>1. Film Brief</w:t>
      </w:r>
    </w:p>
    <w:p>
      <w:r>
        <w:rPr>
          <w:rFonts w:ascii="Noto Sans Myanmar" w:hAnsi="Noto Sans Myanmar" w:eastAsia="Noto Sans Myanmar"/>
          <w:i/>
          <w:color w:val="6B7280"/>
          <w:sz w:val="17"/>
        </w:rPr>
        <w:t>ဖիլմအကျဉ်းချုပ်</w:t>
      </w:r>
    </w:p>
    <w:tbl>
      <w:tblPr>
        <w:tblStyle w:val="TableGrid"/>
        <w:tblW w:type="auto" w:w="0"/>
        <w:jc w:val="left"/>
        <w:tblLook w:firstColumn="1" w:firstRow="1" w:lastColumn="0" w:lastRow="0" w:noHBand="0" w:noVBand="1" w:val="04A0"/>
      </w:tblPr>
      <w:tblGrid>
        <w:gridCol w:w="5256"/>
        <w:gridCol w:w="5256"/>
      </w:tblGrid>
      <w:tr>
        <w:tc>
          <w:tcPr>
            <w:tcW w:type="dxa" w:w="5256"/>
            <w:shd w:fill="EAF2F1"/>
            <w:vAlign w:val="center"/>
          </w:tcPr>
          <w:p>
            <w:pPr>
              <w:spacing w:after="0"/>
            </w:pPr>
            <w:r/>
            <w:r>
              <w:rPr>
                <w:rFonts w:ascii="Noto Sans Myanmar" w:hAnsi="Noto Sans Myanmar" w:eastAsia="Noto Sans Myanmar"/>
                <w:b/>
                <w:color w:val="153B4D"/>
                <w:sz w:val="17"/>
              </w:rPr>
              <w:t>Format</w:t>
            </w:r>
          </w:p>
        </w:tc>
        <w:tc>
          <w:tcPr>
            <w:tcW w:type="dxa" w:w="5256"/>
            <w:vAlign w:val="center"/>
          </w:tcPr>
          <w:p>
            <w:pPr>
              <w:spacing w:after="0"/>
            </w:pPr>
            <w:r/>
            <w:r>
              <w:rPr>
                <w:rFonts w:ascii="Noto Sans Myanmar" w:hAnsi="Noto Sans Myanmar" w:eastAsia="Noto Sans Myanmar"/>
                <w:b w:val="0"/>
                <w:color w:val="1F2933"/>
                <w:sz w:val="17"/>
              </w:rPr>
              <w:t>45-second festive-hosting vertical film series hero cut</w:t>
            </w:r>
          </w:p>
        </w:tc>
      </w:tr>
      <w:tr>
        <w:tc>
          <w:tcPr>
            <w:tcW w:type="dxa" w:w="5256"/>
            <w:shd w:fill="EAF2F1"/>
            <w:vAlign w:val="center"/>
          </w:tcPr>
          <w:p>
            <w:pPr>
              <w:spacing w:after="0"/>
            </w:pPr>
            <w:r/>
            <w:r>
              <w:rPr>
                <w:rFonts w:ascii="Noto Sans Myanmar" w:hAnsi="Noto Sans Myanmar" w:eastAsia="Noto Sans Myanmar"/>
                <w:b/>
                <w:color w:val="153B4D"/>
                <w:sz w:val="17"/>
              </w:rPr>
              <w:t>Linked campaign</w:t>
            </w:r>
          </w:p>
        </w:tc>
        <w:tc>
          <w:tcPr>
            <w:tcW w:type="dxa" w:w="5256"/>
            <w:vAlign w:val="center"/>
          </w:tcPr>
          <w:p>
            <w:pPr>
              <w:spacing w:after="0"/>
            </w:pPr>
            <w:r/>
            <w:r>
              <w:rPr>
                <w:rFonts w:ascii="Noto Sans Myanmar" w:hAnsi="Noto Sans Myanmar" w:eastAsia="Noto Sans Myanmar"/>
                <w:b w:val="0"/>
                <w:color w:val="1F2933"/>
                <w:sz w:val="17"/>
              </w:rPr>
              <w:t>CMP-2026-FNB-008</w:t>
            </w:r>
          </w:p>
        </w:tc>
      </w:tr>
      <w:tr>
        <w:tc>
          <w:tcPr>
            <w:tcW w:type="dxa" w:w="5256"/>
            <w:shd w:fill="EAF2F1"/>
            <w:vAlign w:val="center"/>
          </w:tcPr>
          <w:p>
            <w:pPr>
              <w:spacing w:after="0"/>
            </w:pPr>
            <w:r/>
            <w:r>
              <w:rPr>
                <w:rFonts w:ascii="Noto Sans Myanmar" w:hAnsi="Noto Sans Myanmar" w:eastAsia="Noto Sans Myanmar"/>
                <w:b/>
                <w:color w:val="153B4D"/>
                <w:sz w:val="17"/>
              </w:rPr>
              <w:t>Commercial tension</w:t>
            </w:r>
          </w:p>
        </w:tc>
        <w:tc>
          <w:tcPr>
            <w:tcW w:type="dxa" w:w="5256"/>
            <w:vAlign w:val="center"/>
          </w:tcPr>
          <w:p>
            <w:pPr>
              <w:spacing w:after="0"/>
            </w:pPr>
            <w:r/>
            <w:r>
              <w:rPr>
                <w:rFonts w:ascii="Noto Sans Myanmar" w:hAnsi="Noto Sans Myanmar" w:eastAsia="Noto Sans Myanmar"/>
                <w:b w:val="0"/>
                <w:color w:val="1F2933"/>
                <w:sz w:val="17"/>
              </w:rPr>
              <w:t>Hosting can feel stressful because people need to coordinate a table before they know what they need.</w:t>
            </w:r>
          </w:p>
        </w:tc>
      </w:tr>
      <w:tr>
        <w:tc>
          <w:tcPr>
            <w:tcW w:type="dxa" w:w="5256"/>
            <w:shd w:fill="EAF2F1"/>
            <w:vAlign w:val="center"/>
          </w:tcPr>
          <w:p>
            <w:pPr>
              <w:spacing w:after="0"/>
            </w:pPr>
            <w:r/>
            <w:r>
              <w:rPr>
                <w:rFonts w:ascii="Noto Sans Myanmar" w:hAnsi="Noto Sans Myanmar" w:eastAsia="Noto Sans Myanmar"/>
                <w:b/>
                <w:color w:val="153B4D"/>
                <w:sz w:val="17"/>
              </w:rPr>
              <w:t>Objective</w:t>
            </w:r>
          </w:p>
        </w:tc>
        <w:tc>
          <w:tcPr>
            <w:tcW w:type="dxa" w:w="5256"/>
            <w:vAlign w:val="center"/>
          </w:tcPr>
          <w:p>
            <w:pPr>
              <w:spacing w:after="0"/>
            </w:pPr>
            <w:r/>
            <w:r>
              <w:rPr>
                <w:rFonts w:ascii="Noto Sans Myanmar" w:hAnsi="Noto Sans Myanmar" w:eastAsia="Noto Sans Myanmar"/>
                <w:b w:val="0"/>
                <w:color w:val="1F2933"/>
                <w:sz w:val="17"/>
              </w:rPr>
              <w:t>Prompt client-approved hosting-planner completion and group-order enquiry.</w:t>
            </w:r>
          </w:p>
        </w:tc>
      </w:tr>
      <w:tr>
        <w:tc>
          <w:tcPr>
            <w:tcW w:type="dxa" w:w="5256"/>
            <w:shd w:fill="EAF2F1"/>
            <w:vAlign w:val="center"/>
          </w:tcPr>
          <w:p>
            <w:pPr>
              <w:spacing w:after="0"/>
            </w:pPr>
            <w:r/>
            <w:r>
              <w:rPr>
                <w:rFonts w:ascii="Noto Sans Myanmar" w:hAnsi="Noto Sans Myanmar" w:eastAsia="Noto Sans Myanmar"/>
                <w:b/>
                <w:color w:val="153B4D"/>
                <w:sz w:val="17"/>
              </w:rPr>
              <w:t>Creative territory</w:t>
            </w:r>
          </w:p>
        </w:tc>
        <w:tc>
          <w:tcPr>
            <w:tcW w:type="dxa" w:w="5256"/>
            <w:vAlign w:val="center"/>
          </w:tcPr>
          <w:p>
            <w:pPr>
              <w:spacing w:after="0"/>
            </w:pPr>
            <w:r/>
            <w:r>
              <w:rPr>
                <w:rFonts w:ascii="Noto Sans Myanmar" w:hAnsi="Noto Sans Myanmar" w:eastAsia="Noto Sans Myanmar"/>
                <w:b w:val="0"/>
                <w:color w:val="1F2933"/>
                <w:sz w:val="17"/>
              </w:rPr>
              <w:t>A shared table starts with one thoughtful question.</w:t>
            </w:r>
          </w:p>
        </w:tc>
      </w:tr>
      <w:tr>
        <w:tc>
          <w:tcPr>
            <w:tcW w:type="dxa" w:w="5256"/>
            <w:shd w:fill="EAF2F1"/>
            <w:vAlign w:val="center"/>
          </w:tcPr>
          <w:p>
            <w:pPr>
              <w:spacing w:after="0"/>
            </w:pPr>
            <w:r/>
            <w:r>
              <w:rPr>
                <w:rFonts w:ascii="Noto Sans Myanmar" w:hAnsi="Noto Sans Myanmar" w:eastAsia="Noto Sans Myanmar"/>
                <w:b/>
                <w:color w:val="153B4D"/>
                <w:sz w:val="17"/>
              </w:rPr>
              <w:t>Storyboard status</w:t>
            </w:r>
          </w:p>
        </w:tc>
        <w:tc>
          <w:tcPr>
            <w:tcW w:type="dxa" w:w="5256"/>
            <w:vAlign w:val="center"/>
          </w:tcPr>
          <w:p>
            <w:pPr>
              <w:spacing w:after="0"/>
            </w:pPr>
            <w:r/>
            <w:r>
              <w:rPr>
                <w:rFonts w:ascii="Noto Sans Myanmar" w:hAnsi="Noto Sans Myanmar" w:eastAsia="Noto Sans Myanmar"/>
                <w:b w:val="0"/>
                <w:color w:val="1F2933"/>
                <w:sz w:val="17"/>
              </w:rPr>
              <w:t>Concept storyboard direction: 12 frames; all pack, product, claim, cast, music, venue and end-card details proposed/TBC.</w:t>
            </w:r>
          </w:p>
        </w:tc>
      </w:tr>
    </w:tbl>
    <w:p/>
    <w:p>
      <w:pPr>
        <w:pStyle w:val="Heading1"/>
      </w:pPr>
      <w:r>
        <w:t>2. 12-Frame Detailed Storyboard</w:t>
      </w:r>
    </w:p>
    <w:p>
      <w:r>
        <w:rPr>
          <w:rFonts w:ascii="Noto Sans Myanmar" w:hAnsi="Noto Sans Myanmar" w:eastAsia="Noto Sans Myanmar"/>
          <w:i/>
          <w:color w:val="6B7280"/>
          <w:sz w:val="17"/>
        </w:rPr>
        <w:t>အသေးစိတ် Storyboard ၁၂ ခန်း</w:t>
      </w:r>
    </w:p>
    <w:tbl>
      <w:tblPr>
        <w:tblStyle w:val="TableGrid"/>
        <w:tblW w:type="auto" w:w="0"/>
        <w:jc w:val="left"/>
        <w:tblLook w:firstColumn="1" w:firstRow="1" w:lastColumn="0" w:lastRow="0" w:noHBand="0" w:noVBand="1" w:val="04A0"/>
      </w:tblPr>
      <w:tblGrid>
        <w:gridCol w:w="1752"/>
        <w:gridCol w:w="1752"/>
        <w:gridCol w:w="1752"/>
        <w:gridCol w:w="1752"/>
        <w:gridCol w:w="1752"/>
        <w:gridCol w:w="1752"/>
      </w:tblGrid>
      <w:tr>
        <w:tc>
          <w:tcPr>
            <w:tcW w:type="dxa" w:w="1752"/>
            <w:shd w:fill="153B4D"/>
            <w:vAlign w:val="center"/>
          </w:tcPr>
          <w:p>
            <w:pPr>
              <w:spacing w:after="0"/>
            </w:pPr>
            <w:r/>
            <w:r>
              <w:rPr>
                <w:rFonts w:ascii="Noto Sans Myanmar" w:hAnsi="Noto Sans Myanmar" w:eastAsia="Noto Sans Myanmar"/>
                <w:b/>
                <w:color w:val="FFFFFF"/>
                <w:sz w:val="13"/>
              </w:rPr>
              <w:t>Frame / time</w:t>
            </w:r>
          </w:p>
        </w:tc>
        <w:tc>
          <w:tcPr>
            <w:tcW w:type="dxa" w:w="1752"/>
            <w:shd w:fill="153B4D"/>
            <w:vAlign w:val="center"/>
          </w:tcPr>
          <w:p>
            <w:pPr>
              <w:spacing w:after="0"/>
            </w:pPr>
            <w:r/>
            <w:r>
              <w:rPr>
                <w:rFonts w:ascii="Noto Sans Myanmar" w:hAnsi="Noto Sans Myanmar" w:eastAsia="Noto Sans Myanmar"/>
                <w:b/>
                <w:color w:val="FFFFFF"/>
                <w:sz w:val="13"/>
              </w:rPr>
              <w:t>Visual action</w:t>
            </w:r>
          </w:p>
        </w:tc>
        <w:tc>
          <w:tcPr>
            <w:tcW w:type="dxa" w:w="1752"/>
            <w:shd w:fill="153B4D"/>
            <w:vAlign w:val="center"/>
          </w:tcPr>
          <w:p>
            <w:pPr>
              <w:spacing w:after="0"/>
            </w:pPr>
            <w:r/>
            <w:r>
              <w:rPr>
                <w:rFonts w:ascii="Noto Sans Myanmar" w:hAnsi="Noto Sans Myanmar" w:eastAsia="Noto Sans Myanmar"/>
                <w:b/>
                <w:color w:val="FFFFFF"/>
                <w:sz w:val="13"/>
              </w:rPr>
              <w:t>Camera</w:t>
            </w:r>
          </w:p>
        </w:tc>
        <w:tc>
          <w:tcPr>
            <w:tcW w:type="dxa" w:w="1752"/>
            <w:shd w:fill="153B4D"/>
            <w:vAlign w:val="center"/>
          </w:tcPr>
          <w:p>
            <w:pPr>
              <w:spacing w:after="0"/>
            </w:pPr>
            <w:r/>
            <w:r>
              <w:rPr>
                <w:rFonts w:ascii="Noto Sans Myanmar" w:hAnsi="Noto Sans Myanmar" w:eastAsia="Noto Sans Myanmar"/>
                <w:b/>
                <w:color w:val="FFFFFF"/>
                <w:sz w:val="13"/>
              </w:rPr>
              <w:t>Audio</w:t>
            </w:r>
          </w:p>
        </w:tc>
        <w:tc>
          <w:tcPr>
            <w:tcW w:type="dxa" w:w="1752"/>
            <w:shd w:fill="153B4D"/>
            <w:vAlign w:val="center"/>
          </w:tcPr>
          <w:p>
            <w:pPr>
              <w:spacing w:after="0"/>
            </w:pPr>
            <w:r/>
            <w:r>
              <w:rPr>
                <w:rFonts w:ascii="Noto Sans Myanmar" w:hAnsi="Noto Sans Myanmar" w:eastAsia="Noto Sans Myanmar"/>
                <w:b/>
                <w:color w:val="FFFFFF"/>
                <w:sz w:val="13"/>
              </w:rPr>
              <w:t>Text</w:t>
            </w:r>
          </w:p>
        </w:tc>
        <w:tc>
          <w:tcPr>
            <w:tcW w:type="dxa" w:w="1752"/>
            <w:shd w:fill="153B4D"/>
            <w:vAlign w:val="center"/>
          </w:tcPr>
          <w:p>
            <w:pPr>
              <w:spacing w:after="0"/>
            </w:pPr>
            <w:r/>
            <w:r>
              <w:rPr>
                <w:rFonts w:ascii="Noto Sans Myanmar" w:hAnsi="Noto Sans Myanmar" w:eastAsia="Noto Sans Myanmar"/>
                <w:b/>
                <w:color w:val="FFFFFF"/>
                <w:sz w:val="13"/>
              </w:rPr>
              <w:t>Purpose</w:t>
            </w:r>
          </w:p>
        </w:tc>
      </w:tr>
      <w:tr>
        <w:tc>
          <w:tcPr>
            <w:tcW w:type="dxa" w:w="1752"/>
            <w:shd w:fill="F8FAFC"/>
            <w:vAlign w:val="center"/>
          </w:tcPr>
          <w:p>
            <w:pPr>
              <w:spacing w:after="0"/>
            </w:pPr>
            <w:r/>
            <w:r>
              <w:rPr>
                <w:rFonts w:ascii="Noto Sans Myanmar" w:hAnsi="Noto Sans Myanmar" w:eastAsia="Noto Sans Myanmar"/>
                <w:b w:val="0"/>
                <w:color w:val="1F2933"/>
                <w:sz w:val="13"/>
              </w:rPr>
              <w:t>01 | 00:00–00:03</w:t>
            </w:r>
          </w:p>
        </w:tc>
        <w:tc>
          <w:tcPr>
            <w:tcW w:type="dxa" w:w="1752"/>
            <w:shd w:fill="F8FAFC"/>
            <w:vAlign w:val="center"/>
          </w:tcPr>
          <w:p>
            <w:pPr>
              <w:spacing w:after="0"/>
            </w:pPr>
            <w:r/>
            <w:r>
              <w:rPr>
                <w:rFonts w:ascii="Noto Sans Myanmar" w:hAnsi="Noto Sans Myanmar" w:eastAsia="Noto Sans Myanmar"/>
                <w:b w:val="0"/>
                <w:color w:val="1F2933"/>
                <w:sz w:val="13"/>
              </w:rPr>
              <w:t>A bare table is transformed by handwritten names, not product shots.</w:t>
            </w:r>
          </w:p>
        </w:tc>
        <w:tc>
          <w:tcPr>
            <w:tcW w:type="dxa" w:w="1752"/>
            <w:shd w:fill="F8FAFC"/>
            <w:vAlign w:val="center"/>
          </w:tcPr>
          <w:p>
            <w:pPr>
              <w:spacing w:after="0"/>
            </w:pPr>
            <w:r/>
            <w:r>
              <w:rPr>
                <w:rFonts w:ascii="Noto Sans Myanmar" w:hAnsi="Noto Sans Myanmar" w:eastAsia="Noto Sans Myanmar"/>
                <w:b w:val="0"/>
                <w:color w:val="1F2933"/>
                <w:sz w:val="13"/>
              </w:rPr>
              <w:t>Graphic macro or decisive establishing shot</w:t>
            </w:r>
          </w:p>
        </w:tc>
        <w:tc>
          <w:tcPr>
            <w:tcW w:type="dxa" w:w="1752"/>
            <w:shd w:fill="F8FAFC"/>
            <w:vAlign w:val="center"/>
          </w:tcPr>
          <w:p>
            <w:pPr>
              <w:spacing w:after="0"/>
            </w:pPr>
            <w:r/>
            <w:r>
              <w:rPr>
                <w:rFonts w:ascii="Noto Sans Myanmar" w:hAnsi="Noto Sans Myanmar" w:eastAsia="Noto Sans Myanmar"/>
                <w:b w:val="0"/>
                <w:color w:val="1F2933"/>
                <w:sz w:val="13"/>
              </w:rPr>
              <w:t>First sensory sound; no music lyric required</w:t>
            </w:r>
          </w:p>
        </w:tc>
        <w:tc>
          <w:tcPr>
            <w:tcW w:type="dxa" w:w="1752"/>
            <w:shd w:fill="F8FAFC"/>
            <w:vAlign w:val="center"/>
          </w:tcPr>
          <w:p>
            <w:pPr>
              <w:spacing w:after="0"/>
            </w:pPr>
            <w:r/>
            <w:r>
              <w:rPr>
                <w:rFonts w:ascii="Noto Sans Myanmar" w:hAnsi="Noto Sans Myanmar" w:eastAsia="Noto Sans Myanmar"/>
                <w:b w:val="0"/>
                <w:color w:val="1F2933"/>
                <w:sz w:val="13"/>
              </w:rPr>
              <w:t>Working title only</w:t>
            </w:r>
          </w:p>
        </w:tc>
        <w:tc>
          <w:tcPr>
            <w:tcW w:type="dxa" w:w="1752"/>
            <w:shd w:fill="F8FAFC"/>
            <w:vAlign w:val="center"/>
          </w:tcPr>
          <w:p>
            <w:pPr>
              <w:spacing w:after="0"/>
            </w:pPr>
            <w:r/>
            <w:r>
              <w:rPr>
                <w:rFonts w:ascii="Noto Sans Myanmar" w:hAnsi="Noto Sans Myanmar" w:eastAsia="Noto Sans Myanmar"/>
                <w:b w:val="0"/>
                <w:color w:val="1F2933"/>
                <w:sz w:val="13"/>
              </w:rPr>
              <w:t>Interrupt the scroll with a simple premise.</w:t>
            </w:r>
          </w:p>
        </w:tc>
      </w:tr>
      <w:tr>
        <w:tc>
          <w:tcPr>
            <w:tcW w:type="dxa" w:w="1752"/>
            <w:vAlign w:val="center"/>
          </w:tcPr>
          <w:p>
            <w:pPr>
              <w:spacing w:after="0"/>
            </w:pPr>
            <w:r/>
            <w:r>
              <w:rPr>
                <w:rFonts w:ascii="Noto Sans Myanmar" w:hAnsi="Noto Sans Myanmar" w:eastAsia="Noto Sans Myanmar"/>
                <w:b w:val="0"/>
                <w:color w:val="1F2933"/>
                <w:sz w:val="13"/>
              </w:rPr>
              <w:t>02 | 00:03–00:07</w:t>
            </w:r>
          </w:p>
        </w:tc>
        <w:tc>
          <w:tcPr>
            <w:tcW w:type="dxa" w:w="1752"/>
            <w:vAlign w:val="center"/>
          </w:tcPr>
          <w:p>
            <w:pPr>
              <w:spacing w:after="0"/>
            </w:pPr>
            <w:r/>
            <w:r>
              <w:rPr>
                <w:rFonts w:ascii="Noto Sans Myanmar" w:hAnsi="Noto Sans Myanmar" w:eastAsia="Noto Sans Myanmar"/>
                <w:b w:val="0"/>
                <w:color w:val="1F2933"/>
                <w:sz w:val="13"/>
              </w:rPr>
              <w:t>Home/office-hosting setting with neutral décor and placeholder menu cards.</w:t>
            </w:r>
          </w:p>
        </w:tc>
        <w:tc>
          <w:tcPr>
            <w:tcW w:type="dxa" w:w="1752"/>
            <w:vAlign w:val="center"/>
          </w:tcPr>
          <w:p>
            <w:pPr>
              <w:spacing w:after="0"/>
            </w:pPr>
            <w:r/>
            <w:r>
              <w:rPr>
                <w:rFonts w:ascii="Noto Sans Myanmar" w:hAnsi="Noto Sans Myanmar" w:eastAsia="Noto Sans Myanmar"/>
                <w:b w:val="0"/>
                <w:color w:val="1F2933"/>
                <w:sz w:val="13"/>
              </w:rPr>
              <w:t>Slow reveal / location texture</w:t>
            </w:r>
          </w:p>
        </w:tc>
        <w:tc>
          <w:tcPr>
            <w:tcW w:type="dxa" w:w="1752"/>
            <w:vAlign w:val="center"/>
          </w:tcPr>
          <w:p>
            <w:pPr>
              <w:spacing w:after="0"/>
            </w:pPr>
            <w:r/>
            <w:r>
              <w:rPr>
                <w:rFonts w:ascii="Noto Sans Myanmar" w:hAnsi="Noto Sans Myanmar" w:eastAsia="Noto Sans Myanmar"/>
                <w:b w:val="0"/>
                <w:color w:val="1F2933"/>
                <w:sz w:val="13"/>
              </w:rPr>
              <w:t>Natural ambience enters</w:t>
            </w:r>
          </w:p>
        </w:tc>
        <w:tc>
          <w:tcPr>
            <w:tcW w:type="dxa" w:w="1752"/>
            <w:vAlign w:val="center"/>
          </w:tcPr>
          <w:p>
            <w:pPr>
              <w:spacing w:after="0"/>
            </w:pPr>
            <w:r/>
            <w:r>
              <w:rPr>
                <w:rFonts w:ascii="Noto Sans Myanmar" w:hAnsi="Noto Sans Myanmar" w:eastAsia="Noto Sans Myanmar"/>
                <w:b w:val="0"/>
                <w:color w:val="1F2933"/>
                <w:sz w:val="13"/>
              </w:rPr>
              <w:t>Location/client text: proposed/TBC</w:t>
            </w:r>
          </w:p>
        </w:tc>
        <w:tc>
          <w:tcPr>
            <w:tcW w:type="dxa" w:w="1752"/>
            <w:vAlign w:val="center"/>
          </w:tcPr>
          <w:p>
            <w:pPr>
              <w:spacing w:after="0"/>
            </w:pPr>
            <w:r/>
            <w:r>
              <w:rPr>
                <w:rFonts w:ascii="Noto Sans Myanmar" w:hAnsi="Noto Sans Myanmar" w:eastAsia="Noto Sans Myanmar"/>
                <w:b w:val="0"/>
                <w:color w:val="1F2933"/>
                <w:sz w:val="13"/>
              </w:rPr>
              <w:t>Set a human environment without implying an endorsement.</w:t>
            </w:r>
          </w:p>
        </w:tc>
      </w:tr>
      <w:tr>
        <w:tc>
          <w:tcPr>
            <w:tcW w:type="dxa" w:w="1752"/>
            <w:shd w:fill="F8FAFC"/>
            <w:vAlign w:val="center"/>
          </w:tcPr>
          <w:p>
            <w:pPr>
              <w:spacing w:after="0"/>
            </w:pPr>
            <w:r/>
            <w:r>
              <w:rPr>
                <w:rFonts w:ascii="Noto Sans Myanmar" w:hAnsi="Noto Sans Myanmar" w:eastAsia="Noto Sans Myanmar"/>
                <w:b w:val="0"/>
                <w:color w:val="1F2933"/>
                <w:sz w:val="13"/>
              </w:rPr>
              <w:t>03 | 00:07–00:10</w:t>
            </w:r>
          </w:p>
        </w:tc>
        <w:tc>
          <w:tcPr>
            <w:tcW w:type="dxa" w:w="1752"/>
            <w:shd w:fill="F8FAFC"/>
            <w:vAlign w:val="center"/>
          </w:tcPr>
          <w:p>
            <w:pPr>
              <w:spacing w:after="0"/>
            </w:pPr>
            <w:r/>
            <w:r>
              <w:rPr>
                <w:rFonts w:ascii="Noto Sans Myanmar" w:hAnsi="Noto Sans Myanmar" w:eastAsia="Noto Sans Myanmar"/>
                <w:b w:val="0"/>
                <w:color w:val="1F2933"/>
                <w:sz w:val="13"/>
              </w:rPr>
              <w:t>Paper card, plate placement, a ribbon, gentle kitchen sound and voices arriving.</w:t>
            </w:r>
          </w:p>
        </w:tc>
        <w:tc>
          <w:tcPr>
            <w:tcW w:type="dxa" w:w="1752"/>
            <w:shd w:fill="F8FAFC"/>
            <w:vAlign w:val="center"/>
          </w:tcPr>
          <w:p>
            <w:pPr>
              <w:spacing w:after="0"/>
            </w:pPr>
            <w:r/>
            <w:r>
              <w:rPr>
                <w:rFonts w:ascii="Noto Sans Myanmar" w:hAnsi="Noto Sans Myanmar" w:eastAsia="Noto Sans Myanmar"/>
                <w:b w:val="0"/>
                <w:color w:val="1F2933"/>
                <w:sz w:val="13"/>
              </w:rPr>
              <w:t>Macro cut sequence</w:t>
            </w:r>
          </w:p>
        </w:tc>
        <w:tc>
          <w:tcPr>
            <w:tcW w:type="dxa" w:w="1752"/>
            <w:shd w:fill="F8FAFC"/>
            <w:vAlign w:val="center"/>
          </w:tcPr>
          <w:p>
            <w:pPr>
              <w:spacing w:after="0"/>
            </w:pPr>
            <w:r/>
            <w:r>
              <w:rPr>
                <w:rFonts w:ascii="Noto Sans Myanmar" w:hAnsi="Noto Sans Myanmar" w:eastAsia="Noto Sans Myanmar"/>
                <w:b w:val="0"/>
                <w:color w:val="1F2933"/>
                <w:sz w:val="13"/>
              </w:rPr>
              <w:t>Layered diegetic sensory sounds</w:t>
            </w:r>
          </w:p>
        </w:tc>
        <w:tc>
          <w:tcPr>
            <w:tcW w:type="dxa" w:w="1752"/>
            <w:shd w:fill="F8FAFC"/>
            <w:vAlign w:val="center"/>
          </w:tcPr>
          <w:p>
            <w:pPr>
              <w:spacing w:after="0"/>
            </w:pPr>
            <w:r/>
            <w:r>
              <w:rPr>
                <w:rFonts w:ascii="Noto Sans Myanmar" w:hAnsi="Noto Sans Myanmar" w:eastAsia="Noto Sans Myanmar"/>
                <w:b w:val="0"/>
                <w:color w:val="1F2933"/>
                <w:sz w:val="13"/>
              </w:rPr>
              <w:t>No claim text</w:t>
            </w:r>
          </w:p>
        </w:tc>
        <w:tc>
          <w:tcPr>
            <w:tcW w:type="dxa" w:w="1752"/>
            <w:shd w:fill="F8FAFC"/>
            <w:vAlign w:val="center"/>
          </w:tcPr>
          <w:p>
            <w:pPr>
              <w:spacing w:after="0"/>
            </w:pPr>
            <w:r/>
            <w:r>
              <w:rPr>
                <w:rFonts w:ascii="Noto Sans Myanmar" w:hAnsi="Noto Sans Myanmar" w:eastAsia="Noto Sans Myanmar"/>
                <w:b w:val="0"/>
                <w:color w:val="1F2933"/>
                <w:sz w:val="13"/>
              </w:rPr>
              <w:t>Make the product/category felt before it is explained.</w:t>
            </w:r>
          </w:p>
        </w:tc>
      </w:tr>
      <w:tr>
        <w:tc>
          <w:tcPr>
            <w:tcW w:type="dxa" w:w="1752"/>
            <w:vAlign w:val="center"/>
          </w:tcPr>
          <w:p>
            <w:pPr>
              <w:spacing w:after="0"/>
            </w:pPr>
            <w:r/>
            <w:r>
              <w:rPr>
                <w:rFonts w:ascii="Noto Sans Myanmar" w:hAnsi="Noto Sans Myanmar" w:eastAsia="Noto Sans Myanmar"/>
                <w:b w:val="0"/>
                <w:color w:val="1F2933"/>
                <w:sz w:val="13"/>
              </w:rPr>
              <w:t>04 | 00:10–00:14</w:t>
            </w:r>
          </w:p>
        </w:tc>
        <w:tc>
          <w:tcPr>
            <w:tcW w:type="dxa" w:w="1752"/>
            <w:vAlign w:val="center"/>
          </w:tcPr>
          <w:p>
            <w:pPr>
              <w:spacing w:after="0"/>
            </w:pPr>
            <w:r/>
            <w:r>
              <w:rPr>
                <w:rFonts w:ascii="Noto Sans Myanmar" w:hAnsi="Noto Sans Myanmar" w:eastAsia="Noto Sans Myanmar"/>
                <w:b w:val="0"/>
                <w:color w:val="1F2933"/>
                <w:sz w:val="13"/>
              </w:rPr>
              <w:t>A host sees multiple messages asking what, when and how much to bring.</w:t>
            </w:r>
          </w:p>
        </w:tc>
        <w:tc>
          <w:tcPr>
            <w:tcW w:type="dxa" w:w="1752"/>
            <w:vAlign w:val="center"/>
          </w:tcPr>
          <w:p>
            <w:pPr>
              <w:spacing w:after="0"/>
            </w:pPr>
            <w:r/>
            <w:r>
              <w:rPr>
                <w:rFonts w:ascii="Noto Sans Myanmar" w:hAnsi="Noto Sans Myanmar" w:eastAsia="Noto Sans Myanmar"/>
                <w:b w:val="0"/>
                <w:color w:val="1F2933"/>
                <w:sz w:val="13"/>
              </w:rPr>
              <w:t>Medium character or object problem shot</w:t>
            </w:r>
          </w:p>
        </w:tc>
        <w:tc>
          <w:tcPr>
            <w:tcW w:type="dxa" w:w="1752"/>
            <w:vAlign w:val="center"/>
          </w:tcPr>
          <w:p>
            <w:pPr>
              <w:spacing w:after="0"/>
            </w:pPr>
            <w:r/>
            <w:r>
              <w:rPr>
                <w:rFonts w:ascii="Noto Sans Myanmar" w:hAnsi="Noto Sans Myanmar" w:eastAsia="Noto Sans Myanmar"/>
                <w:b w:val="0"/>
                <w:color w:val="1F2933"/>
                <w:sz w:val="13"/>
              </w:rPr>
              <w:t>Music pauses or narrows</w:t>
            </w:r>
          </w:p>
        </w:tc>
        <w:tc>
          <w:tcPr>
            <w:tcW w:type="dxa" w:w="1752"/>
            <w:vAlign w:val="center"/>
          </w:tcPr>
          <w:p>
            <w:pPr>
              <w:spacing w:after="0"/>
            </w:pPr>
            <w:r/>
            <w:r>
              <w:rPr>
                <w:rFonts w:ascii="Noto Sans Myanmar" w:hAnsi="Noto Sans Myanmar" w:eastAsia="Noto Sans Myanmar"/>
                <w:b w:val="0"/>
                <w:color w:val="1F2933"/>
                <w:sz w:val="13"/>
              </w:rPr>
              <w:t>Question prompt, client-approved only</w:t>
            </w:r>
          </w:p>
        </w:tc>
        <w:tc>
          <w:tcPr>
            <w:tcW w:type="dxa" w:w="1752"/>
            <w:vAlign w:val="center"/>
          </w:tcPr>
          <w:p>
            <w:pPr>
              <w:spacing w:after="0"/>
            </w:pPr>
            <w:r/>
            <w:r>
              <w:rPr>
                <w:rFonts w:ascii="Noto Sans Myanmar" w:hAnsi="Noto Sans Myanmar" w:eastAsia="Noto Sans Myanmar"/>
                <w:b w:val="0"/>
                <w:color w:val="1F2933"/>
                <w:sz w:val="13"/>
              </w:rPr>
              <w:t>Name the real decision friction.</w:t>
            </w:r>
          </w:p>
        </w:tc>
      </w:tr>
      <w:tr>
        <w:tc>
          <w:tcPr>
            <w:tcW w:type="dxa" w:w="1752"/>
            <w:shd w:fill="F8FAFC"/>
            <w:vAlign w:val="center"/>
          </w:tcPr>
          <w:p>
            <w:pPr>
              <w:spacing w:after="0"/>
            </w:pPr>
            <w:r/>
            <w:r>
              <w:rPr>
                <w:rFonts w:ascii="Noto Sans Myanmar" w:hAnsi="Noto Sans Myanmar" w:eastAsia="Noto Sans Myanmar"/>
                <w:b w:val="0"/>
                <w:color w:val="1F2933"/>
                <w:sz w:val="13"/>
              </w:rPr>
              <w:t>05 | 00:14–00:18</w:t>
            </w:r>
          </w:p>
        </w:tc>
        <w:tc>
          <w:tcPr>
            <w:tcW w:type="dxa" w:w="1752"/>
            <w:shd w:fill="F8FAFC"/>
            <w:vAlign w:val="center"/>
          </w:tcPr>
          <w:p>
            <w:pPr>
              <w:spacing w:after="0"/>
            </w:pPr>
            <w:r/>
            <w:r>
              <w:rPr>
                <w:rFonts w:ascii="Noto Sans Myanmar" w:hAnsi="Noto Sans Myanmar" w:eastAsia="Noto Sans Myanmar"/>
                <w:b w:val="0"/>
                <w:color w:val="1F2933"/>
                <w:sz w:val="13"/>
              </w:rPr>
              <w:t>A simple table-size planner turns messages into a non-binding plan.</w:t>
            </w:r>
          </w:p>
        </w:tc>
        <w:tc>
          <w:tcPr>
            <w:tcW w:type="dxa" w:w="1752"/>
            <w:shd w:fill="F8FAFC"/>
            <w:vAlign w:val="center"/>
          </w:tcPr>
          <w:p>
            <w:pPr>
              <w:spacing w:after="0"/>
            </w:pPr>
            <w:r/>
            <w:r>
              <w:rPr>
                <w:rFonts w:ascii="Noto Sans Myanmar" w:hAnsi="Noto Sans Myanmar" w:eastAsia="Noto Sans Myanmar"/>
                <w:b w:val="0"/>
                <w:color w:val="1F2933"/>
                <w:sz w:val="13"/>
              </w:rPr>
              <w:t>Clean transition to visual system/card</w:t>
            </w:r>
          </w:p>
        </w:tc>
        <w:tc>
          <w:tcPr>
            <w:tcW w:type="dxa" w:w="1752"/>
            <w:shd w:fill="F8FAFC"/>
            <w:vAlign w:val="center"/>
          </w:tcPr>
          <w:p>
            <w:pPr>
              <w:spacing w:after="0"/>
            </w:pPr>
            <w:r/>
            <w:r>
              <w:rPr>
                <w:rFonts w:ascii="Noto Sans Myanmar" w:hAnsi="Noto Sans Myanmar" w:eastAsia="Noto Sans Myanmar"/>
                <w:b w:val="0"/>
                <w:color w:val="1F2933"/>
                <w:sz w:val="13"/>
              </w:rPr>
              <w:t>Sound resolves into one simple motif</w:t>
            </w:r>
          </w:p>
        </w:tc>
        <w:tc>
          <w:tcPr>
            <w:tcW w:type="dxa" w:w="1752"/>
            <w:shd w:fill="F8FAFC"/>
            <w:vAlign w:val="center"/>
          </w:tcPr>
          <w:p>
            <w:pPr>
              <w:spacing w:after="0"/>
            </w:pPr>
            <w:r/>
            <w:r>
              <w:rPr>
                <w:rFonts w:ascii="Noto Sans Myanmar" w:hAnsi="Noto Sans Myanmar" w:eastAsia="Noto Sans Myanmar"/>
                <w:b w:val="0"/>
                <w:color w:val="1F2933"/>
                <w:sz w:val="13"/>
              </w:rPr>
              <w:t>One approved proposition line</w:t>
            </w:r>
          </w:p>
        </w:tc>
        <w:tc>
          <w:tcPr>
            <w:tcW w:type="dxa" w:w="1752"/>
            <w:shd w:fill="F8FAFC"/>
            <w:vAlign w:val="center"/>
          </w:tcPr>
          <w:p>
            <w:pPr>
              <w:spacing w:after="0"/>
            </w:pPr>
            <w:r/>
            <w:r>
              <w:rPr>
                <w:rFonts w:ascii="Noto Sans Myanmar" w:hAnsi="Noto Sans Myanmar" w:eastAsia="Noto Sans Myanmar"/>
                <w:b w:val="0"/>
                <w:color w:val="1F2933"/>
                <w:sz w:val="13"/>
              </w:rPr>
              <w:t>Show the route, not an exaggerated solution.</w:t>
            </w:r>
          </w:p>
        </w:tc>
      </w:tr>
      <w:tr>
        <w:tc>
          <w:tcPr>
            <w:tcW w:type="dxa" w:w="1752"/>
            <w:vAlign w:val="center"/>
          </w:tcPr>
          <w:p>
            <w:pPr>
              <w:spacing w:after="0"/>
            </w:pPr>
            <w:r/>
            <w:r>
              <w:rPr>
                <w:rFonts w:ascii="Noto Sans Myanmar" w:hAnsi="Noto Sans Myanmar" w:eastAsia="Noto Sans Myanmar"/>
                <w:b w:val="0"/>
                <w:color w:val="1F2933"/>
                <w:sz w:val="13"/>
              </w:rPr>
              <w:t>06 | 00:18–00:23</w:t>
            </w:r>
          </w:p>
        </w:tc>
        <w:tc>
          <w:tcPr>
            <w:tcW w:type="dxa" w:w="1752"/>
            <w:vAlign w:val="center"/>
          </w:tcPr>
          <w:p>
            <w:pPr>
              <w:spacing w:after="0"/>
            </w:pPr>
            <w:r/>
            <w:r>
              <w:rPr>
                <w:rFonts w:ascii="Noto Sans Myanmar" w:hAnsi="Noto Sans Myanmar" w:eastAsia="Noto Sans Myanmar"/>
                <w:b w:val="0"/>
                <w:color w:val="1F2933"/>
                <w:sz w:val="13"/>
              </w:rPr>
              <w:t>Food elements appear as approved placeholders alongside portion prompts.</w:t>
            </w:r>
          </w:p>
        </w:tc>
        <w:tc>
          <w:tcPr>
            <w:tcW w:type="dxa" w:w="1752"/>
            <w:vAlign w:val="center"/>
          </w:tcPr>
          <w:p>
            <w:pPr>
              <w:spacing w:after="0"/>
            </w:pPr>
            <w:r/>
            <w:r>
              <w:rPr>
                <w:rFonts w:ascii="Noto Sans Myanmar" w:hAnsi="Noto Sans Myanmar" w:eastAsia="Noto Sans Myanmar"/>
                <w:b w:val="0"/>
                <w:color w:val="1F2933"/>
                <w:sz w:val="13"/>
              </w:rPr>
              <w:t>Macro craft/action coverage</w:t>
            </w:r>
          </w:p>
        </w:tc>
        <w:tc>
          <w:tcPr>
            <w:tcW w:type="dxa" w:w="1752"/>
            <w:vAlign w:val="center"/>
          </w:tcPr>
          <w:p>
            <w:pPr>
              <w:spacing w:after="0"/>
            </w:pPr>
            <w:r/>
            <w:r>
              <w:rPr>
                <w:rFonts w:ascii="Noto Sans Myanmar" w:hAnsi="Noto Sans Myanmar" w:eastAsia="Noto Sans Myanmar"/>
                <w:b w:val="0"/>
                <w:color w:val="1F2933"/>
                <w:sz w:val="13"/>
              </w:rPr>
              <w:t>Technique sounds foregrounded</w:t>
            </w:r>
          </w:p>
        </w:tc>
        <w:tc>
          <w:tcPr>
            <w:tcW w:type="dxa" w:w="1752"/>
            <w:vAlign w:val="center"/>
          </w:tcPr>
          <w:p>
            <w:pPr>
              <w:spacing w:after="0"/>
            </w:pPr>
            <w:r/>
            <w:r>
              <w:rPr>
                <w:rFonts w:ascii="Noto Sans Myanmar" w:hAnsi="Noto Sans Myanmar" w:eastAsia="Noto Sans Myanmar"/>
                <w:b w:val="0"/>
                <w:color w:val="1F2933"/>
                <w:sz w:val="13"/>
              </w:rPr>
              <w:t>Factual field placeholders only</w:t>
            </w:r>
          </w:p>
        </w:tc>
        <w:tc>
          <w:tcPr>
            <w:tcW w:type="dxa" w:w="1752"/>
            <w:vAlign w:val="center"/>
          </w:tcPr>
          <w:p>
            <w:pPr>
              <w:spacing w:after="0"/>
            </w:pPr>
            <w:r/>
            <w:r>
              <w:rPr>
                <w:rFonts w:ascii="Noto Sans Myanmar" w:hAnsi="Noto Sans Myanmar" w:eastAsia="Noto Sans Myanmar"/>
                <w:b w:val="0"/>
                <w:color w:val="1F2933"/>
                <w:sz w:val="13"/>
              </w:rPr>
              <w:t>Give visual credibility while keeping facts approval-gated.</w:t>
            </w:r>
          </w:p>
        </w:tc>
      </w:tr>
      <w:tr>
        <w:tc>
          <w:tcPr>
            <w:tcW w:type="dxa" w:w="1752"/>
            <w:shd w:fill="F8FAFC"/>
            <w:vAlign w:val="center"/>
          </w:tcPr>
          <w:p>
            <w:pPr>
              <w:spacing w:after="0"/>
            </w:pPr>
            <w:r/>
            <w:r>
              <w:rPr>
                <w:rFonts w:ascii="Noto Sans Myanmar" w:hAnsi="Noto Sans Myanmar" w:eastAsia="Noto Sans Myanmar"/>
                <w:b w:val="0"/>
                <w:color w:val="1F2933"/>
                <w:sz w:val="13"/>
              </w:rPr>
              <w:t>07 | 00:23–00:27</w:t>
            </w:r>
          </w:p>
        </w:tc>
        <w:tc>
          <w:tcPr>
            <w:tcW w:type="dxa" w:w="1752"/>
            <w:shd w:fill="F8FAFC"/>
            <w:vAlign w:val="center"/>
          </w:tcPr>
          <w:p>
            <w:pPr>
              <w:spacing w:after="0"/>
            </w:pPr>
            <w:r/>
            <w:r>
              <w:rPr>
                <w:rFonts w:ascii="Noto Sans Myanmar" w:hAnsi="Noto Sans Myanmar" w:eastAsia="Noto Sans Myanmar"/>
                <w:b w:val="0"/>
                <w:color w:val="1F2933"/>
                <w:sz w:val="13"/>
              </w:rPr>
              <w:t>Different guests add one small item or note to the table.</w:t>
            </w:r>
          </w:p>
        </w:tc>
        <w:tc>
          <w:tcPr>
            <w:tcW w:type="dxa" w:w="1752"/>
            <w:shd w:fill="F8FAFC"/>
            <w:vAlign w:val="center"/>
          </w:tcPr>
          <w:p>
            <w:pPr>
              <w:spacing w:after="0"/>
            </w:pPr>
            <w:r/>
            <w:r>
              <w:rPr>
                <w:rFonts w:ascii="Noto Sans Myanmar" w:hAnsi="Noto Sans Myanmar" w:eastAsia="Noto Sans Myanmar"/>
                <w:b w:val="0"/>
                <w:color w:val="1F2933"/>
                <w:sz w:val="13"/>
              </w:rPr>
              <w:t>Over-shoulder or shared-table shot</w:t>
            </w:r>
          </w:p>
        </w:tc>
        <w:tc>
          <w:tcPr>
            <w:tcW w:type="dxa" w:w="1752"/>
            <w:shd w:fill="F8FAFC"/>
            <w:vAlign w:val="center"/>
          </w:tcPr>
          <w:p>
            <w:pPr>
              <w:spacing w:after="0"/>
            </w:pPr>
            <w:r/>
            <w:r>
              <w:rPr>
                <w:rFonts w:ascii="Noto Sans Myanmar" w:hAnsi="Noto Sans Myanmar" w:eastAsia="Noto Sans Myanmar"/>
                <w:b w:val="0"/>
                <w:color w:val="1F2933"/>
                <w:sz w:val="13"/>
              </w:rPr>
              <w:t>Brief authentic dialogue/room tone</w:t>
            </w:r>
          </w:p>
        </w:tc>
        <w:tc>
          <w:tcPr>
            <w:tcW w:type="dxa" w:w="1752"/>
            <w:shd w:fill="F8FAFC"/>
            <w:vAlign w:val="center"/>
          </w:tcPr>
          <w:p>
            <w:pPr>
              <w:spacing w:after="0"/>
            </w:pPr>
            <w:r/>
            <w:r>
              <w:rPr>
                <w:rFonts w:ascii="Noto Sans Myanmar" w:hAnsi="Noto Sans Myanmar" w:eastAsia="Noto Sans Myanmar"/>
                <w:b w:val="0"/>
                <w:color w:val="1F2933"/>
                <w:sz w:val="13"/>
              </w:rPr>
              <w:t>No testimonial or result statement</w:t>
            </w:r>
          </w:p>
        </w:tc>
        <w:tc>
          <w:tcPr>
            <w:tcW w:type="dxa" w:w="1752"/>
            <w:shd w:fill="F8FAFC"/>
            <w:vAlign w:val="center"/>
          </w:tcPr>
          <w:p>
            <w:pPr>
              <w:spacing w:after="0"/>
            </w:pPr>
            <w:r/>
            <w:r>
              <w:rPr>
                <w:rFonts w:ascii="Noto Sans Myanmar" w:hAnsi="Noto Sans Myanmar" w:eastAsia="Noto Sans Myanmar"/>
                <w:b w:val="0"/>
                <w:color w:val="1F2933"/>
                <w:sz w:val="13"/>
              </w:rPr>
              <w:t>Make participation feel voluntary and human.</w:t>
            </w:r>
          </w:p>
        </w:tc>
      </w:tr>
      <w:tr>
        <w:tc>
          <w:tcPr>
            <w:tcW w:type="dxa" w:w="1752"/>
            <w:vAlign w:val="center"/>
          </w:tcPr>
          <w:p>
            <w:pPr>
              <w:spacing w:after="0"/>
            </w:pPr>
            <w:r/>
            <w:r>
              <w:rPr>
                <w:rFonts w:ascii="Noto Sans Myanmar" w:hAnsi="Noto Sans Myanmar" w:eastAsia="Noto Sans Myanmar"/>
                <w:b w:val="0"/>
                <w:color w:val="1F2933"/>
                <w:sz w:val="13"/>
              </w:rPr>
              <w:t>08 | 00:27–00:31</w:t>
            </w:r>
          </w:p>
        </w:tc>
        <w:tc>
          <w:tcPr>
            <w:tcW w:type="dxa" w:w="1752"/>
            <w:vAlign w:val="center"/>
          </w:tcPr>
          <w:p>
            <w:pPr>
              <w:spacing w:after="0"/>
            </w:pPr>
            <w:r/>
            <w:r>
              <w:rPr>
                <w:rFonts w:ascii="Noto Sans Myanmar" w:hAnsi="Noto Sans Myanmar" w:eastAsia="Noto Sans Myanmar"/>
                <w:b w:val="0"/>
                <w:color w:val="1F2933"/>
                <w:sz w:val="13"/>
              </w:rPr>
              <w:t>The host selects an optional consultation/pre-order request.</w:t>
            </w:r>
          </w:p>
        </w:tc>
        <w:tc>
          <w:tcPr>
            <w:tcW w:type="dxa" w:w="1752"/>
            <w:vAlign w:val="center"/>
          </w:tcPr>
          <w:p>
            <w:pPr>
              <w:spacing w:after="0"/>
            </w:pPr>
            <w:r/>
            <w:r>
              <w:rPr>
                <w:rFonts w:ascii="Noto Sans Myanmar" w:hAnsi="Noto Sans Myanmar" w:eastAsia="Noto Sans Myanmar"/>
                <w:b w:val="0"/>
                <w:color w:val="1F2933"/>
                <w:sz w:val="13"/>
              </w:rPr>
              <w:t>Insert of hand choosing a card/route</w:t>
            </w:r>
          </w:p>
        </w:tc>
        <w:tc>
          <w:tcPr>
            <w:tcW w:type="dxa" w:w="1752"/>
            <w:vAlign w:val="center"/>
          </w:tcPr>
          <w:p>
            <w:pPr>
              <w:spacing w:after="0"/>
            </w:pPr>
            <w:r/>
            <w:r>
              <w:rPr>
                <w:rFonts w:ascii="Noto Sans Myanmar" w:hAnsi="Noto Sans Myanmar" w:eastAsia="Noto Sans Myanmar"/>
                <w:b w:val="0"/>
                <w:color w:val="1F2933"/>
                <w:sz w:val="13"/>
              </w:rPr>
              <w:t>Single confirmation tone</w:t>
            </w:r>
          </w:p>
        </w:tc>
        <w:tc>
          <w:tcPr>
            <w:tcW w:type="dxa" w:w="1752"/>
            <w:vAlign w:val="center"/>
          </w:tcPr>
          <w:p>
            <w:pPr>
              <w:spacing w:after="0"/>
            </w:pPr>
            <w:r/>
            <w:r>
              <w:rPr>
                <w:rFonts w:ascii="Noto Sans Myanmar" w:hAnsi="Noto Sans Myanmar" w:eastAsia="Noto Sans Myanmar"/>
                <w:b w:val="0"/>
                <w:color w:val="1F2933"/>
                <w:sz w:val="13"/>
              </w:rPr>
              <w:t>Optional next-step prompt</w:t>
            </w:r>
          </w:p>
        </w:tc>
        <w:tc>
          <w:tcPr>
            <w:tcW w:type="dxa" w:w="1752"/>
            <w:vAlign w:val="center"/>
          </w:tcPr>
          <w:p>
            <w:pPr>
              <w:spacing w:after="0"/>
            </w:pPr>
            <w:r/>
            <w:r>
              <w:rPr>
                <w:rFonts w:ascii="Noto Sans Myanmar" w:hAnsi="Noto Sans Myanmar" w:eastAsia="Noto Sans Myanmar"/>
                <w:b w:val="0"/>
                <w:color w:val="1F2933"/>
                <w:sz w:val="13"/>
              </w:rPr>
              <w:t>Show a transparent conversion moment.</w:t>
            </w:r>
          </w:p>
        </w:tc>
      </w:tr>
      <w:tr>
        <w:tc>
          <w:tcPr>
            <w:tcW w:type="dxa" w:w="1752"/>
            <w:shd w:fill="F8FAFC"/>
            <w:vAlign w:val="center"/>
          </w:tcPr>
          <w:p>
            <w:pPr>
              <w:spacing w:after="0"/>
            </w:pPr>
            <w:r/>
            <w:r>
              <w:rPr>
                <w:rFonts w:ascii="Noto Sans Myanmar" w:hAnsi="Noto Sans Myanmar" w:eastAsia="Noto Sans Myanmar"/>
                <w:b w:val="0"/>
                <w:color w:val="1F2933"/>
                <w:sz w:val="13"/>
              </w:rPr>
              <w:t>09 | 00:31–00:35</w:t>
            </w:r>
          </w:p>
        </w:tc>
        <w:tc>
          <w:tcPr>
            <w:tcW w:type="dxa" w:w="1752"/>
            <w:shd w:fill="F8FAFC"/>
            <w:vAlign w:val="center"/>
          </w:tcPr>
          <w:p>
            <w:pPr>
              <w:spacing w:after="0"/>
            </w:pPr>
            <w:r/>
            <w:r>
              <w:rPr>
                <w:rFonts w:ascii="Noto Sans Myanmar" w:hAnsi="Noto Sans Myanmar" w:eastAsia="Noto Sans Myanmar"/>
                <w:b w:val="0"/>
                <w:color w:val="1F2933"/>
                <w:sz w:val="13"/>
              </w:rPr>
              <w:t>The table holds a quiet pause before everyone sits.</w:t>
            </w:r>
          </w:p>
        </w:tc>
        <w:tc>
          <w:tcPr>
            <w:tcW w:type="dxa" w:w="1752"/>
            <w:shd w:fill="F8FAFC"/>
            <w:vAlign w:val="center"/>
          </w:tcPr>
          <w:p>
            <w:pPr>
              <w:spacing w:after="0"/>
            </w:pPr>
            <w:r/>
            <w:r>
              <w:rPr>
                <w:rFonts w:ascii="Noto Sans Myanmar" w:hAnsi="Noto Sans Myanmar" w:eastAsia="Noto Sans Myanmar"/>
                <w:b w:val="0"/>
                <w:color w:val="1F2933"/>
                <w:sz w:val="13"/>
              </w:rPr>
              <w:t>Wider emotional payoff shot</w:t>
            </w:r>
          </w:p>
        </w:tc>
        <w:tc>
          <w:tcPr>
            <w:tcW w:type="dxa" w:w="1752"/>
            <w:shd w:fill="F8FAFC"/>
            <w:vAlign w:val="center"/>
          </w:tcPr>
          <w:p>
            <w:pPr>
              <w:spacing w:after="0"/>
            </w:pPr>
            <w:r/>
            <w:r>
              <w:rPr>
                <w:rFonts w:ascii="Noto Sans Myanmar" w:hAnsi="Noto Sans Myanmar" w:eastAsia="Noto Sans Myanmar"/>
                <w:b w:val="0"/>
                <w:color w:val="1F2933"/>
                <w:sz w:val="13"/>
              </w:rPr>
              <w:t>Music opens gently</w:t>
            </w:r>
          </w:p>
        </w:tc>
        <w:tc>
          <w:tcPr>
            <w:tcW w:type="dxa" w:w="1752"/>
            <w:shd w:fill="F8FAFC"/>
            <w:vAlign w:val="center"/>
          </w:tcPr>
          <w:p>
            <w:pPr>
              <w:spacing w:after="0"/>
            </w:pPr>
            <w:r/>
            <w:r>
              <w:rPr>
                <w:rFonts w:ascii="Noto Sans Myanmar" w:hAnsi="Noto Sans Myanmar" w:eastAsia="Noto Sans Myanmar"/>
                <w:b w:val="0"/>
                <w:color w:val="1F2933"/>
                <w:sz w:val="13"/>
              </w:rPr>
              <w:t>No quantitative claim</w:t>
            </w:r>
          </w:p>
        </w:tc>
        <w:tc>
          <w:tcPr>
            <w:tcW w:type="dxa" w:w="1752"/>
            <w:shd w:fill="F8FAFC"/>
            <w:vAlign w:val="center"/>
          </w:tcPr>
          <w:p>
            <w:pPr>
              <w:spacing w:after="0"/>
            </w:pPr>
            <w:r/>
            <w:r>
              <w:rPr>
                <w:rFonts w:ascii="Noto Sans Myanmar" w:hAnsi="Noto Sans Myanmar" w:eastAsia="Noto Sans Myanmar"/>
                <w:b w:val="0"/>
                <w:color w:val="1F2933"/>
                <w:sz w:val="13"/>
              </w:rPr>
              <w:t>Reward the decision with atmosphere, not a sales promise.</w:t>
            </w:r>
          </w:p>
        </w:tc>
      </w:tr>
      <w:tr>
        <w:tc>
          <w:tcPr>
            <w:tcW w:type="dxa" w:w="1752"/>
            <w:vAlign w:val="center"/>
          </w:tcPr>
          <w:p>
            <w:pPr>
              <w:spacing w:after="0"/>
            </w:pPr>
            <w:r/>
            <w:r>
              <w:rPr>
                <w:rFonts w:ascii="Noto Sans Myanmar" w:hAnsi="Noto Sans Myanmar" w:eastAsia="Noto Sans Myanmar"/>
                <w:b w:val="0"/>
                <w:color w:val="1F2933"/>
                <w:sz w:val="13"/>
              </w:rPr>
              <w:t>10 | 00:35–00:39</w:t>
            </w:r>
          </w:p>
        </w:tc>
        <w:tc>
          <w:tcPr>
            <w:tcW w:type="dxa" w:w="1752"/>
            <w:vAlign w:val="center"/>
          </w:tcPr>
          <w:p>
            <w:pPr>
              <w:spacing w:after="0"/>
            </w:pPr>
            <w:r/>
            <w:r>
              <w:rPr>
                <w:rFonts w:ascii="Noto Sans Myanmar" w:hAnsi="Noto Sans Myanmar" w:eastAsia="Noto Sans Myanmar"/>
                <w:b w:val="0"/>
                <w:color w:val="1F2933"/>
                <w:sz w:val="13"/>
              </w:rPr>
              <w:t>Several table shapes cut together, showing different group sizes without capacity claims.</w:t>
            </w:r>
          </w:p>
        </w:tc>
        <w:tc>
          <w:tcPr>
            <w:tcW w:type="dxa" w:w="1752"/>
            <w:vAlign w:val="center"/>
          </w:tcPr>
          <w:p>
            <w:pPr>
              <w:spacing w:after="0"/>
            </w:pPr>
            <w:r/>
            <w:r>
              <w:rPr>
                <w:rFonts w:ascii="Noto Sans Myanmar" w:hAnsi="Noto Sans Myanmar" w:eastAsia="Noto Sans Myanmar"/>
                <w:b w:val="0"/>
                <w:color w:val="1F2933"/>
                <w:sz w:val="13"/>
              </w:rPr>
              <w:t>Pattern montage or top shot</w:t>
            </w:r>
          </w:p>
        </w:tc>
        <w:tc>
          <w:tcPr>
            <w:tcW w:type="dxa" w:w="1752"/>
            <w:vAlign w:val="center"/>
          </w:tcPr>
          <w:p>
            <w:pPr>
              <w:spacing w:after="0"/>
            </w:pPr>
            <w:r/>
            <w:r>
              <w:rPr>
                <w:rFonts w:ascii="Noto Sans Myanmar" w:hAnsi="Noto Sans Myanmar" w:eastAsia="Noto Sans Myanmar"/>
                <w:b w:val="0"/>
                <w:color w:val="1F2933"/>
                <w:sz w:val="13"/>
              </w:rPr>
              <w:t>Rhythmic edit</w:t>
            </w:r>
          </w:p>
        </w:tc>
        <w:tc>
          <w:tcPr>
            <w:tcW w:type="dxa" w:w="1752"/>
            <w:vAlign w:val="center"/>
          </w:tcPr>
          <w:p>
            <w:pPr>
              <w:spacing w:after="0"/>
            </w:pPr>
            <w:r/>
            <w:r>
              <w:rPr>
                <w:rFonts w:ascii="Noto Sans Myanmar" w:hAnsi="Noto Sans Myanmar" w:eastAsia="Noto Sans Myanmar"/>
                <w:b w:val="0"/>
                <w:color w:val="1F2933"/>
                <w:sz w:val="13"/>
              </w:rPr>
              <w:t>Category/series title, subject to approval</w:t>
            </w:r>
          </w:p>
        </w:tc>
        <w:tc>
          <w:tcPr>
            <w:tcW w:type="dxa" w:w="1752"/>
            <w:vAlign w:val="center"/>
          </w:tcPr>
          <w:p>
            <w:pPr>
              <w:spacing w:after="0"/>
            </w:pPr>
            <w:r/>
            <w:r>
              <w:rPr>
                <w:rFonts w:ascii="Noto Sans Myanmar" w:hAnsi="Noto Sans Myanmar" w:eastAsia="Noto Sans Myanmar"/>
                <w:b w:val="0"/>
                <w:color w:val="1F2933"/>
                <w:sz w:val="13"/>
              </w:rPr>
              <w:t>Suggest a broader world without asserting scale or attendance.</w:t>
            </w:r>
          </w:p>
        </w:tc>
      </w:tr>
      <w:tr>
        <w:tc>
          <w:tcPr>
            <w:tcW w:type="dxa" w:w="1752"/>
            <w:shd w:fill="F8FAFC"/>
            <w:vAlign w:val="center"/>
          </w:tcPr>
          <w:p>
            <w:pPr>
              <w:spacing w:after="0"/>
            </w:pPr>
            <w:r/>
            <w:r>
              <w:rPr>
                <w:rFonts w:ascii="Noto Sans Myanmar" w:hAnsi="Noto Sans Myanmar" w:eastAsia="Noto Sans Myanmar"/>
                <w:b w:val="0"/>
                <w:color w:val="1F2933"/>
                <w:sz w:val="13"/>
              </w:rPr>
              <w:t>11 | 00:39–00:42</w:t>
            </w:r>
          </w:p>
        </w:tc>
        <w:tc>
          <w:tcPr>
            <w:tcW w:type="dxa" w:w="1752"/>
            <w:shd w:fill="F8FAFC"/>
            <w:vAlign w:val="center"/>
          </w:tcPr>
          <w:p>
            <w:pPr>
              <w:spacing w:after="0"/>
            </w:pPr>
            <w:r/>
            <w:r>
              <w:rPr>
                <w:rFonts w:ascii="Noto Sans Myanmar" w:hAnsi="Noto Sans Myanmar" w:eastAsia="Noto Sans Myanmar"/>
                <w:b w:val="0"/>
                <w:color w:val="1F2933"/>
                <w:sz w:val="13"/>
              </w:rPr>
              <w:t>Product/menu, serving, availability, delivery/pickup, price and holiday-operation details are client-approved only.</w:t>
            </w:r>
          </w:p>
        </w:tc>
        <w:tc>
          <w:tcPr>
            <w:tcW w:type="dxa" w:w="1752"/>
            <w:shd w:fill="F8FAFC"/>
            <w:vAlign w:val="center"/>
          </w:tcPr>
          <w:p>
            <w:pPr>
              <w:spacing w:after="0"/>
            </w:pPr>
            <w:r/>
            <w:r>
              <w:rPr>
                <w:rFonts w:ascii="Noto Sans Myanmar" w:hAnsi="Noto Sans Myanmar" w:eastAsia="Noto Sans Myanmar"/>
                <w:b w:val="0"/>
                <w:color w:val="1F2933"/>
                <w:sz w:val="13"/>
              </w:rPr>
              <w:t>Clean legal/fact-card composition</w:t>
            </w:r>
          </w:p>
        </w:tc>
        <w:tc>
          <w:tcPr>
            <w:tcW w:type="dxa" w:w="1752"/>
            <w:shd w:fill="F8FAFC"/>
            <w:vAlign w:val="center"/>
          </w:tcPr>
          <w:p>
            <w:pPr>
              <w:spacing w:after="0"/>
            </w:pPr>
            <w:r/>
            <w:r>
              <w:rPr>
                <w:rFonts w:ascii="Noto Sans Myanmar" w:hAnsi="Noto Sans Myanmar" w:eastAsia="Noto Sans Myanmar"/>
                <w:b w:val="0"/>
                <w:color w:val="1F2933"/>
                <w:sz w:val="13"/>
              </w:rPr>
              <w:t>Music strips back for legibility</w:t>
            </w:r>
          </w:p>
        </w:tc>
        <w:tc>
          <w:tcPr>
            <w:tcW w:type="dxa" w:w="1752"/>
            <w:shd w:fill="F8FAFC"/>
            <w:vAlign w:val="center"/>
          </w:tcPr>
          <w:p>
            <w:pPr>
              <w:spacing w:after="0"/>
            </w:pPr>
            <w:r/>
            <w:r>
              <w:rPr>
                <w:rFonts w:ascii="Noto Sans Myanmar" w:hAnsi="Noto Sans Myanmar" w:eastAsia="Noto Sans Myanmar"/>
                <w:b w:val="0"/>
                <w:color w:val="1F2933"/>
                <w:sz w:val="13"/>
              </w:rPr>
              <w:t>Legal/claims/availability placeholders</w:t>
            </w:r>
          </w:p>
        </w:tc>
        <w:tc>
          <w:tcPr>
            <w:tcW w:type="dxa" w:w="1752"/>
            <w:shd w:fill="F8FAFC"/>
            <w:vAlign w:val="center"/>
          </w:tcPr>
          <w:p>
            <w:pPr>
              <w:spacing w:after="0"/>
            </w:pPr>
            <w:r/>
            <w:r>
              <w:rPr>
                <w:rFonts w:ascii="Noto Sans Myanmar" w:hAnsi="Noto Sans Myanmar" w:eastAsia="Noto Sans Myanmar"/>
                <w:b w:val="0"/>
                <w:color w:val="1F2933"/>
                <w:sz w:val="13"/>
              </w:rPr>
              <w:t>Hold the boundary between creative promise and substantiated information.</w:t>
            </w:r>
          </w:p>
        </w:tc>
      </w:tr>
      <w:tr>
        <w:tc>
          <w:tcPr>
            <w:tcW w:type="dxa" w:w="1752"/>
            <w:vAlign w:val="center"/>
          </w:tcPr>
          <w:p>
            <w:pPr>
              <w:spacing w:after="0"/>
            </w:pPr>
            <w:r/>
            <w:r>
              <w:rPr>
                <w:rFonts w:ascii="Noto Sans Myanmar" w:hAnsi="Noto Sans Myanmar" w:eastAsia="Noto Sans Myanmar"/>
                <w:b w:val="0"/>
                <w:color w:val="1F2933"/>
                <w:sz w:val="13"/>
              </w:rPr>
              <w:t>12 | 00:42–00:45</w:t>
            </w:r>
          </w:p>
        </w:tc>
        <w:tc>
          <w:tcPr>
            <w:tcW w:type="dxa" w:w="1752"/>
            <w:vAlign w:val="center"/>
          </w:tcPr>
          <w:p>
            <w:pPr>
              <w:spacing w:after="0"/>
            </w:pPr>
            <w:r/>
            <w:r>
              <w:rPr>
                <w:rFonts w:ascii="Noto Sans Myanmar" w:hAnsi="Noto Sans Myanmar" w:eastAsia="Noto Sans Myanmar"/>
                <w:b w:val="0"/>
                <w:color w:val="1F2933"/>
                <w:sz w:val="13"/>
              </w:rPr>
              <w:t>Build your approved hosting plan / request the next step.</w:t>
            </w:r>
          </w:p>
        </w:tc>
        <w:tc>
          <w:tcPr>
            <w:tcW w:type="dxa" w:w="1752"/>
            <w:vAlign w:val="center"/>
          </w:tcPr>
          <w:p>
            <w:pPr>
              <w:spacing w:after="0"/>
            </w:pPr>
            <w:r/>
            <w:r>
              <w:rPr>
                <w:rFonts w:ascii="Noto Sans Myanmar" w:hAnsi="Noto Sans Myanmar" w:eastAsia="Noto Sans Myanmar"/>
                <w:b w:val="0"/>
                <w:color w:val="1F2933"/>
                <w:sz w:val="13"/>
              </w:rPr>
              <w:t>Endboard with a calm human/object final image</w:t>
            </w:r>
          </w:p>
        </w:tc>
        <w:tc>
          <w:tcPr>
            <w:tcW w:type="dxa" w:w="1752"/>
            <w:vAlign w:val="center"/>
          </w:tcPr>
          <w:p>
            <w:pPr>
              <w:spacing w:after="0"/>
            </w:pPr>
            <w:r/>
            <w:r>
              <w:rPr>
                <w:rFonts w:ascii="Noto Sans Myanmar" w:hAnsi="Noto Sans Myanmar" w:eastAsia="Noto Sans Myanmar"/>
                <w:b w:val="0"/>
                <w:color w:val="1F2933"/>
                <w:sz w:val="13"/>
              </w:rPr>
              <w:t>Final resolved sound</w:t>
            </w:r>
          </w:p>
        </w:tc>
        <w:tc>
          <w:tcPr>
            <w:tcW w:type="dxa" w:w="1752"/>
            <w:vAlign w:val="center"/>
          </w:tcPr>
          <w:p>
            <w:pPr>
              <w:spacing w:after="0"/>
            </w:pPr>
            <w:r/>
            <w:r>
              <w:rPr>
                <w:rFonts w:ascii="Noto Sans Myanmar" w:hAnsi="Noto Sans Myanmar" w:eastAsia="Noto Sans Myanmar"/>
                <w:b w:val="0"/>
                <w:color w:val="1F2933"/>
                <w:sz w:val="13"/>
              </w:rPr>
              <w:t>Client-approved CTA + QR/URL placeholder</w:t>
            </w:r>
          </w:p>
        </w:tc>
        <w:tc>
          <w:tcPr>
            <w:tcW w:type="dxa" w:w="1752"/>
            <w:vAlign w:val="center"/>
          </w:tcPr>
          <w:p>
            <w:pPr>
              <w:spacing w:after="0"/>
            </w:pPr>
            <w:r/>
            <w:r>
              <w:rPr>
                <w:rFonts w:ascii="Noto Sans Myanmar" w:hAnsi="Noto Sans Myanmar" w:eastAsia="Noto Sans Myanmar"/>
                <w:b w:val="0"/>
                <w:color w:val="1F2933"/>
                <w:sz w:val="13"/>
              </w:rPr>
              <w:t>Deliver one voluntary next action.</w:t>
            </w:r>
          </w:p>
        </w:tc>
      </w:tr>
    </w:tbl>
    <w:p/>
    <w:p>
      <w:pPr>
        <w:pStyle w:val="Heading1"/>
      </w:pPr>
      <w:r>
        <w:t>3. Production &amp; Claims Gate</w:t>
      </w:r>
    </w:p>
    <w:p>
      <w:r>
        <w:rPr>
          <w:rFonts w:ascii="Noto Sans Myanmar" w:hAnsi="Noto Sans Myanmar" w:eastAsia="Noto Sans Myanmar"/>
          <w:i/>
          <w:color w:val="6B7280"/>
          <w:sz w:val="17"/>
        </w:rPr>
        <w:t>ထုတ်လုပ်မှုနှင့် Claim အတည်ပြုချက်</w:t>
      </w:r>
    </w:p>
    <w:p>
      <w:pPr>
        <w:pStyle w:val="ListBullet"/>
        <w:spacing w:after="40"/>
      </w:pPr>
      <w:r>
        <w:t>This is a creative treatment and storyboard direction, not a final shoot script, product claim, talent confirmation or costed production bid.</w:t>
      </w:r>
    </w:p>
    <w:p>
      <w:pPr>
        <w:pStyle w:val="ListBullet"/>
        <w:spacing w:after="40"/>
      </w:pPr>
      <w:r>
        <w:t>Lock the final script only after client product facts, brand/legal review, food/allergen handling, location, talent, usage rights, music, subtitle language, pack shots, safety and end-card CTA are approved.</w:t>
      </w:r>
    </w:p>
    <w:p>
      <w:pPr>
        <w:pStyle w:val="ListBullet"/>
        <w:spacing w:after="40"/>
      </w:pPr>
      <w:r>
        <w:t>Prepare master, vertical, square and short cutdown needs only after the confirmed distribution and media plan is approved.</w:t>
      </w:r>
    </w:p>
    <w:p>
      <w:pPr>
        <w:pStyle w:val="ListBullet"/>
        <w:spacing w:after="40"/>
      </w:pPr>
      <w:r>
        <w:t>Use only consented real people; do not create customer testimonials, efficacy claims, venue endorsements or sponsor associations without proof and approval.</w:t>
      </w:r>
    </w:p>
    <w:p>
      <w:pPr>
        <w:pStyle w:val="Heading1"/>
      </w:pPr>
      <w:r>
        <w:t>4. Production Planning Envelope</w:t>
      </w:r>
    </w:p>
    <w:p>
      <w:r>
        <w:rPr>
          <w:rFonts w:ascii="Noto Sans Myanmar" w:hAnsi="Noto Sans Myanmar" w:eastAsia="Noto Sans Myanmar"/>
          <w:i/>
          <w:color w:val="6B7280"/>
          <w:sz w:val="17"/>
        </w:rPr>
        <w:t>ထုတ်လုပ်မှု စီမံကိန်း</w:t>
      </w:r>
    </w:p>
    <w:tbl>
      <w:tblPr>
        <w:tblStyle w:val="TableGrid"/>
        <w:tblW w:type="auto" w:w="0"/>
        <w:jc w:val="left"/>
        <w:tblLook w:firstColumn="1" w:firstRow="1" w:lastColumn="0" w:lastRow="0" w:noHBand="0" w:noVBand="1" w:val="04A0"/>
      </w:tblPr>
      <w:tblGrid>
        <w:gridCol w:w="5256"/>
        <w:gridCol w:w="5256"/>
      </w:tblGrid>
      <w:tr>
        <w:tc>
          <w:tcPr>
            <w:tcW w:type="dxa" w:w="5256"/>
            <w:shd w:fill="153B4D"/>
            <w:vAlign w:val="center"/>
          </w:tcPr>
          <w:p>
            <w:pPr>
              <w:spacing w:after="0"/>
            </w:pPr>
            <w:r/>
            <w:r>
              <w:rPr>
                <w:rFonts w:ascii="Noto Sans Myanmar" w:hAnsi="Noto Sans Myanmar" w:eastAsia="Noto Sans Myanmar"/>
                <w:b/>
                <w:color w:val="FFFFFF"/>
                <w:sz w:val="16"/>
              </w:rPr>
              <w:t>Workstream</w:t>
            </w:r>
          </w:p>
        </w:tc>
        <w:tc>
          <w:tcPr>
            <w:tcW w:type="dxa" w:w="5256"/>
            <w:shd w:fill="153B4D"/>
            <w:vAlign w:val="center"/>
          </w:tcPr>
          <w:p>
            <w:pPr>
              <w:spacing w:after="0"/>
            </w:pPr>
            <w:r/>
            <w:r>
              <w:rPr>
                <w:rFonts w:ascii="Noto Sans Myanmar" w:hAnsi="Noto Sans Myanmar" w:eastAsia="Noto Sans Myanmar"/>
                <w:b/>
                <w:color w:val="FFFFFF"/>
                <w:sz w:val="16"/>
              </w:rPr>
              <w:t>Planning instruction</w:t>
            </w:r>
          </w:p>
        </w:tc>
      </w:tr>
      <w:tr>
        <w:tc>
          <w:tcPr>
            <w:tcW w:type="dxa" w:w="5256"/>
            <w:shd w:fill="F8FAFC"/>
            <w:vAlign w:val="center"/>
          </w:tcPr>
          <w:p>
            <w:pPr>
              <w:spacing w:after="0"/>
            </w:pPr>
            <w:r/>
            <w:r>
              <w:rPr>
                <w:rFonts w:ascii="Noto Sans Myanmar" w:hAnsi="Noto Sans Myanmar" w:eastAsia="Noto Sans Myanmar"/>
                <w:b w:val="0"/>
                <w:color w:val="1F2933"/>
                <w:sz w:val="16"/>
              </w:rPr>
              <w:t>Development</w:t>
            </w:r>
          </w:p>
        </w:tc>
        <w:tc>
          <w:tcPr>
            <w:tcW w:type="dxa" w:w="5256"/>
            <w:shd w:fill="F8FAFC"/>
            <w:vAlign w:val="center"/>
          </w:tcPr>
          <w:p>
            <w:pPr>
              <w:spacing w:after="0"/>
            </w:pPr>
            <w:r/>
            <w:r>
              <w:rPr>
                <w:rFonts w:ascii="Noto Sans Myanmar" w:hAnsi="Noto Sans Myanmar" w:eastAsia="Noto Sans Myanmar"/>
                <w:b w:val="0"/>
                <w:color w:val="1F2933"/>
                <w:sz w:val="16"/>
              </w:rPr>
              <w:t>Confirm factual proposition, audience, CTA, route and claim boundary.</w:t>
            </w:r>
          </w:p>
        </w:tc>
      </w:tr>
      <w:tr>
        <w:tc>
          <w:tcPr>
            <w:tcW w:type="dxa" w:w="5256"/>
            <w:vAlign w:val="center"/>
          </w:tcPr>
          <w:p>
            <w:pPr>
              <w:spacing w:after="0"/>
            </w:pPr>
            <w:r/>
            <w:r>
              <w:rPr>
                <w:rFonts w:ascii="Noto Sans Myanmar" w:hAnsi="Noto Sans Myanmar" w:eastAsia="Noto Sans Myanmar"/>
                <w:b w:val="0"/>
                <w:color w:val="1F2933"/>
                <w:sz w:val="16"/>
              </w:rPr>
              <w:t>Pre-production</w:t>
            </w:r>
          </w:p>
        </w:tc>
        <w:tc>
          <w:tcPr>
            <w:tcW w:type="dxa" w:w="5256"/>
            <w:vAlign w:val="center"/>
          </w:tcPr>
          <w:p>
            <w:pPr>
              <w:spacing w:after="0"/>
            </w:pPr>
            <w:r/>
            <w:r>
              <w:rPr>
                <w:rFonts w:ascii="Noto Sans Myanmar" w:hAnsi="Noto Sans Myanmar" w:eastAsia="Noto Sans Myanmar"/>
                <w:b w:val="0"/>
                <w:color w:val="1F2933"/>
                <w:sz w:val="16"/>
              </w:rPr>
              <w:t>Approve cast, location, food styling/handling, wardrobe, props, pack artwork, rights and shoot safety.</w:t>
            </w:r>
          </w:p>
        </w:tc>
      </w:tr>
      <w:tr>
        <w:tc>
          <w:tcPr>
            <w:tcW w:type="dxa" w:w="5256"/>
            <w:shd w:fill="F8FAFC"/>
            <w:vAlign w:val="center"/>
          </w:tcPr>
          <w:p>
            <w:pPr>
              <w:spacing w:after="0"/>
            </w:pPr>
            <w:r/>
            <w:r>
              <w:rPr>
                <w:rFonts w:ascii="Noto Sans Myanmar" w:hAnsi="Noto Sans Myanmar" w:eastAsia="Noto Sans Myanmar"/>
                <w:b w:val="0"/>
                <w:color w:val="1F2933"/>
                <w:sz w:val="16"/>
              </w:rPr>
              <w:t>Production</w:t>
            </w:r>
          </w:p>
        </w:tc>
        <w:tc>
          <w:tcPr>
            <w:tcW w:type="dxa" w:w="5256"/>
            <w:shd w:fill="F8FAFC"/>
            <w:vAlign w:val="center"/>
          </w:tcPr>
          <w:p>
            <w:pPr>
              <w:spacing w:after="0"/>
            </w:pPr>
            <w:r/>
            <w:r>
              <w:rPr>
                <w:rFonts w:ascii="Noto Sans Myanmar" w:hAnsi="Noto Sans Myanmar" w:eastAsia="Noto Sans Myanmar"/>
                <w:b w:val="0"/>
                <w:color w:val="1F2933"/>
                <w:sz w:val="16"/>
              </w:rPr>
              <w:t>Use a food-safe set plan, clear zones, client sign-off and a daily data/asset backup procedure.</w:t>
            </w:r>
          </w:p>
        </w:tc>
      </w:tr>
      <w:tr>
        <w:tc>
          <w:tcPr>
            <w:tcW w:type="dxa" w:w="5256"/>
            <w:vAlign w:val="center"/>
          </w:tcPr>
          <w:p>
            <w:pPr>
              <w:spacing w:after="0"/>
            </w:pPr>
            <w:r/>
            <w:r>
              <w:rPr>
                <w:rFonts w:ascii="Noto Sans Myanmar" w:hAnsi="Noto Sans Myanmar" w:eastAsia="Noto Sans Myanmar"/>
                <w:b w:val="0"/>
                <w:color w:val="1F2933"/>
                <w:sz w:val="16"/>
              </w:rPr>
              <w:t>Post-production</w:t>
            </w:r>
          </w:p>
        </w:tc>
        <w:tc>
          <w:tcPr>
            <w:tcW w:type="dxa" w:w="5256"/>
            <w:vAlign w:val="center"/>
          </w:tcPr>
          <w:p>
            <w:pPr>
              <w:spacing w:after="0"/>
            </w:pPr>
            <w:r/>
            <w:r>
              <w:rPr>
                <w:rFonts w:ascii="Noto Sans Myanmar" w:hAnsi="Noto Sans Myanmar" w:eastAsia="Noto Sans Myanmar"/>
                <w:b w:val="0"/>
                <w:color w:val="1F2933"/>
                <w:sz w:val="16"/>
              </w:rPr>
              <w:t>Build approved bilingual subtitles, versioning, music/licensing record, legal card and client review gates.</w:t>
            </w:r>
          </w:p>
        </w:tc>
      </w:tr>
      <w:tr>
        <w:tc>
          <w:tcPr>
            <w:tcW w:type="dxa" w:w="5256"/>
            <w:shd w:fill="F8FAFC"/>
            <w:vAlign w:val="center"/>
          </w:tcPr>
          <w:p>
            <w:pPr>
              <w:spacing w:after="0"/>
            </w:pPr>
            <w:r/>
            <w:r>
              <w:rPr>
                <w:rFonts w:ascii="Noto Sans Myanmar" w:hAnsi="Noto Sans Myanmar" w:eastAsia="Noto Sans Myanmar"/>
                <w:b w:val="0"/>
                <w:color w:val="1F2933"/>
                <w:sz w:val="16"/>
              </w:rPr>
              <w:t>Delivery</w:t>
            </w:r>
          </w:p>
        </w:tc>
        <w:tc>
          <w:tcPr>
            <w:tcW w:type="dxa" w:w="5256"/>
            <w:shd w:fill="F8FAFC"/>
            <w:vAlign w:val="center"/>
          </w:tcPr>
          <w:p>
            <w:pPr>
              <w:spacing w:after="0"/>
            </w:pPr>
            <w:r/>
            <w:r>
              <w:rPr>
                <w:rFonts w:ascii="Noto Sans Myanmar" w:hAnsi="Noto Sans Myanmar" w:eastAsia="Noto Sans Myanmar"/>
                <w:b w:val="0"/>
                <w:color w:val="1F2933"/>
                <w:sz w:val="16"/>
              </w:rPr>
              <w:t>Release only approved masters/cutdowns with an archive link and version status in the Master Tracker.</w:t>
            </w:r>
          </w:p>
        </w:tc>
      </w:tr>
    </w:tbl>
    <w:p/>
    <w:p>
      <w:pPr>
        <w:pStyle w:val="Heading1"/>
      </w:pPr>
      <w:r>
        <w:t>5. Evidence Boundary</w:t>
      </w:r>
    </w:p>
    <w:p>
      <w:r>
        <w:rPr>
          <w:rFonts w:ascii="Noto Sans Myanmar" w:hAnsi="Noto Sans Myanmar" w:eastAsia="Noto Sans Myanmar"/>
          <w:i/>
          <w:color w:val="6B7280"/>
          <w:sz w:val="17"/>
        </w:rPr>
        <w:t>အထောက်အထား ကန့်သတ်ချက်</w:t>
      </w:r>
    </w:p>
    <w:p>
      <w:r>
        <w:t>The film uses the F&amp;B research register only as broad context. It does not represent any future event, location, association, product, person, brand, food claim, competition, sponsor or venue as confirmed. All such details remain proposed/TBC.</w:t>
      </w:r>
    </w:p>
    <w:p>
      <w:pPr>
        <w:pStyle w:val="Caption"/>
      </w:pPr>
      <w:r>
        <w:t>Prepared by Manus AI for ZYNTH. Creative planning document only; not a shooting permit, service contract, legal clearance or food-safety approval.</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Myanmar" w:hAnsi="Noto Sans Myanmar" w:eastAsia="Noto Sans Myanmar"/>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Myanmar" w:hAnsi="Noto Sans Myanmar" w:eastAsia="Noto Sans Myanmar"/>
      <w:b/>
      <w:bCs/>
      <w:color w:val="1A6A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Myanmar" w:hAnsi="Noto Sans Myanmar" w:eastAsia="Noto Sans Myanmar"/>
      <w:b/>
      <w:bCs/>
      <w:color w:val="153B4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Myanmar" w:hAnsi="Noto Sans Myanmar" w:eastAsia="Noto Sans Myanmar"/>
      <w:color w:val="153B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