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C5973D"/>
          <w:sz w:val="22"/>
        </w:rPr>
        <w:t>ZYNTH</w:t>
      </w:r>
      <w:r>
        <w:rPr>
          <w:sz w:val="17"/>
        </w:rPr>
        <w:t xml:space="preserve">  |  Myanmar-First Bilingual Production System</w:t>
      </w:r>
    </w:p>
    <w:p>
      <w:pPr>
        <w:pStyle w:val="Title"/>
      </w:pPr>
      <w:r>
        <w:t>Origin on the Table: Regional Ingredient Proof Pop-Up</w:t>
      </w:r>
    </w:p>
    <w:p>
      <w:r>
        <w:rPr>
          <w:rFonts w:ascii="Noto Sans Myanmar" w:hAnsi="Noto Sans Myanmar" w:eastAsia="Noto Sans Myanmar"/>
          <w:color w:val="1A6A68"/>
          <w:sz w:val="30"/>
        </w:rPr>
        <w:t>မူရင်းကို စားပွဲပေါ်သို့ — ဒေသထွက်ပါဝင်ပစ္စည်း အတွေ့အကြုံပြပွဲ</w:t>
      </w:r>
    </w:p>
    <w:p>
      <w:pPr>
        <w:spacing w:before="200"/>
      </w:pPr>
      <w:r>
        <w:rPr>
          <w:b/>
          <w:color w:val="6B7280"/>
          <w:sz w:val="18"/>
        </w:rPr>
        <w:t>CAMPAIGN / ACTIVATION PROPOSAL  •  CMP-2026-FNB-001  •  F&amp;B / Myanmar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8"/>
              </w:rPr>
              <w:t>Client-ready planning proposal. All client, venue, chef, supplier, food-safety, product, claims, price, inventory, right, permit and partnership elements are proposed/TBC until written approval.</w:t>
            </w:r>
          </w:p>
        </w:tc>
      </w:tr>
    </w:tbl>
    <w:p>
      <w:pPr>
        <w:pStyle w:val="Heading1"/>
      </w:pPr>
      <w:r>
        <w:t>1. Commercial Brief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စီးပွားရေးဆိုင်ရာ အကျဉ်းချုပ်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Format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Regional ingredient proof pop-up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Commercial tension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Consumers may enjoy a dish but lack a clear, non-exaggerated reason to choose it again when multiple F&amp;B options feel interchangeable.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Objective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Convert taste curiosity into an opted-in tasting follow-up, product trial or client-approved purchase route.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Audience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Urban food-curious adults, local-product shoppers and invited hospitality/community stakeholders; exact audience and eligibility TBC.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Creative territory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The ingredient has a place, a season and a hand behind it.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Seasonal / date logic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Evergreen cultural-discovery format; use Q4 only if the client confirms a suitable product, venue and operating date.</w:t>
            </w:r>
          </w:p>
        </w:tc>
      </w:tr>
    </w:tbl>
    <w:p/>
    <w:p>
      <w:pPr>
        <w:pStyle w:val="Heading1"/>
      </w:pPr>
      <w:r>
        <w:t>2. Conversion Experience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ပြောင်းလဲမှု အတွေ့အကြုံ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Conversion mechanism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A three-station tasting card unlocks a QR ingredient/story card and a voluntary next-step preference selection; any order, delivery or purchase destination is client-approved/TBC.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Experience flow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Discover one regional ingredient → observe controlled preparation → taste a small labelled portion → select a preference → opt into a follow-up only with consent.</w:t>
            </w:r>
          </w:p>
        </w:tc>
      </w:tr>
    </w:tbl>
    <w:p/>
    <w:p>
      <w:pPr>
        <w:pStyle w:val="Heading1"/>
      </w:pPr>
      <w:r>
        <w:t>3. Proposed Workplan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အဆိုပြုလုပ်ငန်းစဉ်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2628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Indicative timing</w:t>
            </w:r>
          </w:p>
        </w:tc>
        <w:tc>
          <w:tcPr>
            <w:tcW w:type="dxa" w:w="2628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ZYNTH output</w:t>
            </w:r>
          </w:p>
        </w:tc>
        <w:tc>
          <w:tcPr>
            <w:tcW w:type="dxa" w:w="2628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Client decision required</w:t>
            </w:r>
          </w:p>
        </w:tc>
      </w:tr>
      <w:tr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G0–G1: Brief &amp; evidence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Working days 1–2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Evidence register, audience hypothesis, claims boundary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Approve objective, data boundary and product facts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G2–G3: Strategy &amp; creative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Working days 3–5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Journey, creative route, content/experience plan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Select route and priority conversion action</w:t>
            </w:r>
          </w:p>
        </w:tc>
      </w:tr>
      <w:tr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G4: Feasibility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Working days 6–8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Food safety, hygiene, venue, rights, staffing, consent and risk register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Name accountable owners and clear go/no-go conditions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G5: Production readiness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Working days 9–12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Run-of-show, asset list, training, capture and escalation plan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Approve final assets, rules, terms and operations</w:t>
            </w:r>
          </w:p>
        </w:tc>
      </w:tr>
      <w:tr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G6–G7: Live &amp; learn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Client/venue-confirmed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Dashboard check, daily log, decision record and learning note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Approve optimisation or close-out</w:t>
            </w:r>
          </w:p>
        </w:tc>
      </w:tr>
    </w:tbl>
    <w:p/>
    <w:p>
      <w:pPr>
        <w:pStyle w:val="Heading1"/>
      </w:pPr>
      <w:r>
        <w:t>4. Budget Envelope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ဘတ်ဂျက် စီမံကိန်း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Planning scenario</w:t>
            </w:r>
          </w:p>
        </w:tc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Non-tax envelope</w:t>
            </w:r>
          </w:p>
        </w:tc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Use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Lean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12.5m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Minimum viable controlled pilot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Recommended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24.8m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Ingredient-story, controlled tasting, bilingual labelling, food-safety operations and data-capture led.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Flagship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48.5m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Expanded scale, content and operational capacity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Recommended budget workstream</w:t>
            </w:r>
          </w:p>
        </w:tc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Indicative share</w:t>
            </w:r>
          </w:p>
        </w:tc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Planning amount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Strategy, creative &amp; project direction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15%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3.7m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Experience/production operations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36%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8.9m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Staffing, training &amp; facilitation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18%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4.5m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Data, CRM &amp; reporting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8%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2.0m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Product/sampling/guest operations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13%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3.2m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Contingency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10%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2.5m</w:t>
            </w:r>
          </w:p>
        </w:tc>
      </w:tr>
    </w:tbl>
    <w:p/>
    <w:p>
      <w:pPr>
        <w:pStyle w:val="Heading1"/>
      </w:pPr>
      <w:r>
        <w:t>5. Measurement and Commercial Scenarios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စောင့်ကြည့်တိုင်းတာမှုနှင့် Scenario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5256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Directional outcome</w:t>
            </w:r>
          </w:p>
        </w:tc>
      </w:tr>
      <w:tr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Conservative</w:t>
            </w:r>
          </w:p>
        </w:tc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90 completed tasting cards / 12 qualified follow-ups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Base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180 completed tasting cards / 32 qualified follow-ups</w:t>
            </w:r>
          </w:p>
        </w:tc>
      </w:tr>
      <w:tr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Upside</w:t>
            </w:r>
          </w:p>
        </w:tc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300 completed tasting cards / 60 qualified follow-ups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Primary KPIs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Labelled tasting completions; Consented preference selections; Qualified next-step requests; Approved product-trial redemptions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Data rule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Capture only client-approved, consented data needed for a stated follow-up; do not infer purchase intent, demographics or eligibility.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Scenario rule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Planning assumptions only. Replace with client funnel, margin, service capacity, inventory and attribution data before commercial sign-off.</w:t>
            </w:r>
          </w:p>
        </w:tc>
      </w:tr>
    </w:tbl>
    <w:p/>
    <w:p>
      <w:pPr>
        <w:pStyle w:val="Heading1"/>
      </w:pPr>
      <w:r>
        <w:t>6. Mandatory Preflight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မဖြစ်မနေ အတည်ပြုရမည့်အချက်များ</w:t>
      </w:r>
    </w:p>
    <w:p>
      <w:pPr>
        <w:pStyle w:val="ListBullet"/>
        <w:spacing w:after="40"/>
      </w:pPr>
      <w:r>
        <w:t>Product/ingredient facts</w:t>
      </w:r>
    </w:p>
    <w:p>
      <w:pPr>
        <w:pStyle w:val="ListBullet"/>
        <w:spacing w:after="40"/>
      </w:pPr>
      <w:r>
        <w:t>Allergen and serving information</w:t>
      </w:r>
    </w:p>
    <w:p>
      <w:pPr>
        <w:pStyle w:val="ListBullet"/>
        <w:spacing w:after="40"/>
      </w:pPr>
      <w:r>
        <w:t>Food preparation and hygiene plan</w:t>
      </w:r>
    </w:p>
    <w:p>
      <w:pPr>
        <w:pStyle w:val="ListBullet"/>
        <w:spacing w:after="40"/>
      </w:pPr>
      <w:r>
        <w:t>Venue/permit</w:t>
      </w:r>
    </w:p>
    <w:p>
      <w:pPr>
        <w:pStyle w:val="ListBullet"/>
        <w:spacing w:after="40"/>
      </w:pPr>
      <w:r>
        <w:t>Consent text</w:t>
      </w:r>
    </w:p>
    <w:p>
      <w:pPr>
        <w:pStyle w:val="ListBullet"/>
        <w:spacing w:after="40"/>
      </w:pPr>
      <w:r>
        <w:t>Photography/rights</w:t>
      </w:r>
    </w:p>
    <w:p>
      <w:pPr>
        <w:pStyle w:val="ListBullet"/>
        <w:spacing w:after="40"/>
      </w:pPr>
      <w:r>
        <w:t>No health, safety, origin, sustainability, quality, availability, price, award, restaurant, chef or partnership claim may be used without written client/legal approval.</w:t>
      </w:r>
    </w:p>
    <w:p>
      <w:pPr>
        <w:pStyle w:val="ListBullet"/>
        <w:spacing w:after="40"/>
      </w:pPr>
      <w:r>
        <w:t>All third-party visual, music, talent, recipe, venue and photography rights must be cleared before production.</w:t>
      </w:r>
    </w:p>
    <w:p>
      <w:pPr>
        <w:pStyle w:val="Heading1"/>
      </w:pPr>
      <w:r>
        <w:t>7. Evidence and Use Limits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အထောက်အထားနှင့် အသုံးပြုခွင့် ကန့်သတ်ချက်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ID</w:t>
            </w:r>
          </w:p>
        </w:tc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Public source</w:t>
            </w:r>
          </w:p>
        </w:tc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URL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FNB-S02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Xinhua — Tastes of Golden Land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https://english.news.cn/20260726/49ff2f8a557b4825a58978e89ccccc61/c.html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FNB-S07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Myanmar International TV — Tastes of the Golden Land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https://www.myanmaritv.com/news/tastes-golden-land-myanmar-traditional-food-competition-and-exhibition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FNB-S08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Ministry of Information — Traditional Food Competition and Exhibition 2026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https://www.moi.gov.mm/moi%3Aeng/news/21664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FNB-S09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Global New Light of Myanmar — Myanmar Urged to Cultivate Signature Foods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https://www.gnlm.com.mm/myanmar-urged-to-cultivate-signature-foods/</w:t>
            </w:r>
          </w:p>
        </w:tc>
      </w:tr>
    </w:tbl>
    <w:p/>
    <w:p>
      <w:r>
        <w:rPr>
          <w:b/>
        </w:rPr>
        <w:t xml:space="preserve">Evidence use: </w:t>
      </w:r>
      <w:r>
        <w:t>Sources provide public sector/event/calendar/compliance context only. They do not validate any future commercial partnership, venue, individual endorsement, performance, attendance or sales outcome.</w:t>
      </w:r>
    </w:p>
    <w:p>
      <w:pPr>
        <w:pStyle w:val="Caption"/>
      </w:pPr>
      <w:r>
        <w:t>Prepared by Manus AI for ZYNTH. Planning document only; not a contract, supplier quotation, legal advice or food-safety approval.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Myanmar" w:hAnsi="Noto Sans Myanmar" w:eastAsia="Noto Sans Myanmar"/>
      <w:color w:val="1F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1A6A6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153B4D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Myanmar" w:hAnsi="Noto Sans Myanmar" w:eastAsia="Noto Sans Myanmar"/>
      <w:color w:val="153B4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