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Flavour Find: Guided Shelf-to-Sip Discovery Trail</w:t>
      </w:r>
    </w:p>
    <w:p>
      <w:r>
        <w:rPr>
          <w:rFonts w:ascii="Noto Sans Myanmar" w:hAnsi="Noto Sans Myanmar" w:eastAsia="Noto Sans Myanmar"/>
          <w:color w:val="1A6A68"/>
          <w:sz w:val="30"/>
        </w:rPr>
        <w:t>အရသာရှာဖွေရေး — လမ်းညွှန်ထားသော Shelf-to-Sip Discovery Trail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CMP-2026-FNB-002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Retail discovery trail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New beverages or snack variants can be overlooked when choice overload makes shoppers default to familiar products.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Help a shopper identify one personally relevant flavour route and capture a consented re-engagement preference.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Client-defined retail visitors and adult beverage/snack shoppers; retail access and age/category rules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Do not browse the shelf. Follow your flavour.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Suitable for a non-holiday retail window; do not schedule around a public holiday without retailer confirmation.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five-question flavour card issues a route token to two or three client-approved discovery points, ending in a voluntary preference capture or offer reveal.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Choose a flavour mood → receive a route token → explore short product stories → sample only where approved → choose a preferred next step.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10.8m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22.1m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Retail-routing, small-footprint display, trained guides, approved sampling and redemption instrumentation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43.2m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8.0m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4.0m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1.8m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2.9m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2.2m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220 starts / 70 completions / 14 qualified opt-ins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460 starts / 180 completions / 42 qualified opt-ins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800 starts / 340 completions / 84 qualified opt-ins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Route starts; Route completions; Preference captures; Client-approved offer redemptions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Retailer access</w:t>
      </w:r>
    </w:p>
    <w:p>
      <w:pPr>
        <w:pStyle w:val="ListBullet"/>
        <w:spacing w:after="40"/>
      </w:pPr>
      <w:r>
        <w:t>Product availability</w:t>
      </w:r>
    </w:p>
    <w:p>
      <w:pPr>
        <w:pStyle w:val="ListBullet"/>
        <w:spacing w:after="40"/>
      </w:pPr>
      <w:r>
        <w:t>Any age/category controls</w:t>
      </w:r>
    </w:p>
    <w:p>
      <w:pPr>
        <w:pStyle w:val="ListBullet"/>
        <w:spacing w:after="40"/>
      </w:pPr>
      <w:r>
        <w:t>Offer terms</w:t>
      </w:r>
    </w:p>
    <w:p>
      <w:pPr>
        <w:pStyle w:val="ListBullet"/>
        <w:spacing w:after="40"/>
      </w:pPr>
      <w:r>
        <w:t>Sampling and hygiene plan</w:t>
      </w:r>
    </w:p>
    <w:p>
      <w:pPr>
        <w:pStyle w:val="ListBullet"/>
        <w:spacing w:after="40"/>
      </w:pPr>
      <w:r>
        <w:t>Data consent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USDA Foreign Agricultural Service — Burma: Food Service - Hotel Restaurant Institutional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https://www.fas.usda.gov/data/gain/2025/02/burma-food-service-hotel-restaurant-institutional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FNB-S10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Inter Myanmar Channel — Exploring HORECA 2026 Myanmar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https://www.youtube.com/watch?v=mbh1472c2HI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