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5973D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Better Break: Workplace Meal Discovery Programme</w:t>
      </w:r>
    </w:p>
    <w:p>
      <w:r>
        <w:rPr>
          <w:rFonts w:ascii="Noto Sans Myanmar" w:hAnsi="Noto Sans Myanmar" w:eastAsia="Noto Sans Myanmar"/>
          <w:color w:val="1A6A68"/>
          <w:sz w:val="30"/>
        </w:rPr>
        <w:t>ပိုကောင်းတဲ့ နားချိန် — အလုပ်ခွင် Meal Discovery Programme</w:t>
      </w:r>
    </w:p>
    <w:p>
      <w:pPr>
        <w:spacing w:before="200"/>
      </w:pPr>
      <w:r>
        <w:rPr>
          <w:b/>
          <w:color w:val="6B7280"/>
          <w:sz w:val="18"/>
        </w:rPr>
        <w:t>CAMPAIGN / ACTIVATION PROPOSAL  •  CMP-2026-FNB-004  •  F&amp;B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8"/>
              </w:rPr>
              <w:t>Client-ready planning proposal. All client, venue, chef, supplier, food-safety, product, claims, price, inventory, right, permit and partnership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B2B workplace tasting and procurement clinic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Office meal or pantry decisions can remain price-only conversations, leaving service fit, dietary information and ordering workflow unexplored.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Move a workplace decision-maker from generic interest to a consented procurement tasting or operational scoping meeting.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Client-defined HR, operations, procurement and workplace-experience decision-makers; employer access TBC.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break should work as hard as the team does.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Suitable for September business-planning windows; workplace schedule and access approval required.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short preference-and-operations card produces a named tasting/scoping appointment; no catering capacity or outcome is promised at the activation.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Choose a workplace use case → review practical service cards → taste approved portions → complete a procurement priority card → book a scoping conversation.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timing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 output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Evidence register, audience hypothesis, claims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objective, data boundary and product facts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Journey, creative route, content/experience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Food safety, hygiene, venue, rights, staffing, consent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Client/venue-confirmed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scenario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Non-tax envelope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9.8m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19.8m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B2B facilitation, controlled tasting, account invitation, decision capture and follow-up design led.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39.7m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Expanded scale,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 budget workstream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share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3.0m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36%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7.1m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3.6m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1.6m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Product/sampling/guest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13%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2.6m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2.0m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18 decision-makers / 4 scoping appointments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42 decision-makers / 12 scoping appointments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80 decision-makers / 24 scoping appointments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Decision-maker attendance; Scoping appointments; Qualified procurement briefs; Client-approved proposal requests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follow-up; do not infer purchase intent, demographics or eligibility.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 funnel, margin, service capacity,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Employer access</w:t>
      </w:r>
    </w:p>
    <w:p>
      <w:pPr>
        <w:pStyle w:val="ListBullet"/>
        <w:spacing w:after="40"/>
      </w:pPr>
      <w:r>
        <w:t>Service scope</w:t>
      </w:r>
    </w:p>
    <w:p>
      <w:pPr>
        <w:pStyle w:val="ListBullet"/>
        <w:spacing w:after="40"/>
      </w:pPr>
      <w:r>
        <w:t>Tasting logistics</w:t>
      </w:r>
    </w:p>
    <w:p>
      <w:pPr>
        <w:pStyle w:val="ListBullet"/>
        <w:spacing w:after="40"/>
      </w:pPr>
      <w:r>
        <w:t>Allergen/food safety</w:t>
      </w:r>
    </w:p>
    <w:p>
      <w:pPr>
        <w:pStyle w:val="ListBullet"/>
        <w:spacing w:after="40"/>
      </w:pPr>
      <w:r>
        <w:t>Account-data consent</w:t>
      </w:r>
    </w:p>
    <w:p>
      <w:pPr>
        <w:pStyle w:val="ListBullet"/>
        <w:spacing w:after="40"/>
      </w:pPr>
      <w:r>
        <w:t>Sales owner</w:t>
      </w:r>
    </w:p>
    <w:p>
      <w:pPr>
        <w:pStyle w:val="ListBullet"/>
        <w:spacing w:after="40"/>
      </w:pPr>
      <w:r>
        <w:t>No health, safety, origin, sustainability, quality, availability, price, award, restaurant, chef or partnership claim may be used without written client/legal approval.</w:t>
      </w:r>
    </w:p>
    <w:p>
      <w:pPr>
        <w:pStyle w:val="ListBullet"/>
        <w:spacing w:after="40"/>
      </w:pPr>
      <w:r>
        <w:t>All third-party visual, music, talent, recipe, venue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Public source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FNB-S01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USDA Foreign Agricultural Service — Burma: Food Service - Hotel Restaurant Institutional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https://www.fas.usda.gov/data/gain/2025/02/burma-food-service-hotel-restaurant-institutional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FNB-S08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Ministry of Information — Traditional Food Competition and Exhibition 2026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https://www.moi.gov.mm/moi%3Aeng/news/21664</w:t>
            </w:r>
          </w:p>
        </w:tc>
      </w:tr>
    </w:tbl>
    <w:p/>
    <w:p>
      <w:r>
        <w:rPr>
          <w:b/>
        </w:rPr>
        <w:t xml:space="preserve">Evidence use: </w:t>
      </w:r>
      <w:r>
        <w:t>Sources provide public sector/event/calendar/compliance context only. They do not validate any future commercial partnership, venue, individual endorsement, performance, attendance or sales outcome.</w:t>
      </w:r>
    </w:p>
    <w:p>
      <w:pPr>
        <w:pStyle w:val="Caption"/>
      </w:pPr>
      <w:r>
        <w:t>Prepared by Manus AI for ZYNTH. Planning document only; not a contract, supplier quotation, legal advice or food-safety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53B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53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