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One Dish, Many Hands: Open-Kitchen Craft Table</w:t>
      </w:r>
    </w:p>
    <w:p>
      <w:r>
        <w:rPr>
          <w:rFonts w:ascii="Noto Sans Myanmar" w:hAnsi="Noto Sans Myanmar" w:eastAsia="Noto Sans Myanmar"/>
          <w:color w:val="1A6A68"/>
          <w:sz w:val="30"/>
        </w:rPr>
        <w:t>တစ်ပွဲတည်း၊ လက်များစွာ — Open-Kitchen Craft Table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CMP-2026-FNB-005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Chef-led craft demonstration and preview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food brand may have a credible making process, yet customers see only the finished dish and cannot distinguish craft from generic promotion.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high-attention, client-approved waitlist, tasting-session or content-consent pathway around visible craft.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Food-interested consumers, invited media/creators and client-defined guests; chef, venue and media participation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making is part of the meal.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for late September or early October before the listed Thadingyut holidays; exact date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clearly timed demonstration ends with a question card, a controlled tasting sequence and an optional waitlist or session request.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Meet the dish story → observe selected preparation steps → ask a guided question → receive serving context → request a future client-approved seat or update.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15.1m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31.2m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Open-kitchen staging, safety separation, demonstration talent, content rights and controlled guest-flow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63.8m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11.2m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2.5m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3.1m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60 guests / 12 waitlist requests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140 guests / 36 waitlist requests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260 guests / 78 waitlist requests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Seat/standing-zone attendance; Question-card submissions; Waitlist requests; Approved media/content opt-ins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Chef/talent contract</w:t>
      </w:r>
    </w:p>
    <w:p>
      <w:pPr>
        <w:pStyle w:val="ListBullet"/>
        <w:spacing w:after="40"/>
      </w:pPr>
      <w:r>
        <w:t>Recipe/IP boundary</w:t>
      </w:r>
    </w:p>
    <w:p>
      <w:pPr>
        <w:pStyle w:val="ListBullet"/>
        <w:spacing w:after="40"/>
      </w:pPr>
      <w:r>
        <w:t>Food safety</w:t>
      </w:r>
    </w:p>
    <w:p>
      <w:pPr>
        <w:pStyle w:val="ListBullet"/>
        <w:spacing w:after="40"/>
      </w:pPr>
      <w:r>
        <w:t>Guest capacity</w:t>
      </w:r>
    </w:p>
    <w:p>
      <w:pPr>
        <w:pStyle w:val="ListBullet"/>
        <w:spacing w:after="40"/>
      </w:pPr>
      <w:r>
        <w:t>Content rights</w:t>
      </w:r>
    </w:p>
    <w:p>
      <w:pPr>
        <w:pStyle w:val="ListBullet"/>
        <w:spacing w:after="40"/>
      </w:pPr>
      <w:r>
        <w:t>Venue permissions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FNB-S07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Myanmar International TV — Tastes of the Golden Land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https://www.myanmaritv.com/news/tastes-golden-land-myanmar-traditional-food-competition-and-exhibition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Ministry of Information — Traditional Food Competition and Exhibition 2026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https://www.moi.gov.mm/moi%3Aeng/news/21664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FNB-S10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Inter Myanmar Channel — Exploring HORECA 2026 Myanmar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https://www.youtube.com/watch?v=mbh1472c2HI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