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5973D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The Quiet Cup: Coffee &amp; Tea Sensory Masterclass</w:t>
      </w:r>
    </w:p>
    <w:p>
      <w:r>
        <w:rPr>
          <w:rFonts w:ascii="Noto Sans Myanmar" w:hAnsi="Noto Sans Myanmar" w:eastAsia="Noto Sans Myanmar"/>
          <w:color w:val="1A6A68"/>
          <w:sz w:val="30"/>
        </w:rPr>
        <w:t>တိတ်ဆိတ်တဲ့ ခွက် — ကော်ဖီနှင့် လက်ဖက်ရည် Sensory Masterclass</w:t>
      </w:r>
    </w:p>
    <w:p>
      <w:pPr>
        <w:spacing w:before="200"/>
      </w:pPr>
      <w:r>
        <w:rPr>
          <w:b/>
          <w:color w:val="6B7280"/>
          <w:sz w:val="18"/>
        </w:rPr>
        <w:t>CAMPAIGN / ACTIVATION PROPOSAL  •  CMP-2026-FNB-006  •  F&amp;B / Myanmar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8"/>
              </w:rPr>
              <w:t>Client-ready planning proposal. All client, venue, chef, supplier, food-safety, product, claims, price, inventory, right, permit and partnership elements are proposed/TBC until written approval.</w:t>
            </w:r>
          </w:p>
        </w:tc>
      </w:tr>
    </w:tbl>
    <w:p>
      <w:pPr>
        <w:pStyle w:val="Heading1"/>
      </w:pPr>
      <w:r>
        <w:t>1. Commercial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စီးပွားရေးဆိုင်ရာ 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Format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Sensory masterclass and membership pathway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Commercial tension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Coffee and tea communication can become technical or status-led, making curious newcomers reluctant to ask questions or return.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Objective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Turn guided sensory participation into an optional club/session registration or client-approved product learning route.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Audience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Adult coffee/tea-curious participants; beverage, venue, age and dietary policies TBC.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Creative territory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Your taste already knows where to begin.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Seasonal / date logic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Works as a post-Thadingyut November learning format, subject to final calendar/venue confirmation.</w:t>
            </w:r>
          </w:p>
        </w:tc>
      </w:tr>
    </w:tbl>
    <w:p/>
    <w:p>
      <w:pPr>
        <w:pStyle w:val="Heading1"/>
      </w:pPr>
      <w:r>
        <w:t>2. Conversion Experience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ပြောင်းလဲမှု အတွေ့အကြုံ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Conversion mechanism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guided aroma/flavour scorecard produces a self-selected learning profile and optional registration for a future session, tasting pack or client-approved update.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Experience flow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Choose a sensory prompt → smell/observe → taste controlled samples → complete a scorecard → select a next learning step.</w:t>
            </w:r>
          </w:p>
        </w:tc>
      </w:tr>
    </w:tbl>
    <w:p/>
    <w:p>
      <w:pPr>
        <w:pStyle w:val="Heading1"/>
      </w:pPr>
      <w:r>
        <w:t>3. Proposed Workplan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အဆိုပြုလုပ်ငန်းစဉ်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timing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ZYNTH output</w:t>
            </w:r>
          </w:p>
        </w:tc>
        <w:tc>
          <w:tcPr>
            <w:tcW w:type="dxa" w:w="2628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Client decision required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G0–G1: Brief &amp; evidence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1–2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Evidence register, audience hypothesis, claims boundary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objective, data boundary and product facts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G2–G3: Strategy &amp; creative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3–5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Journey, creative route, content/experience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Select route and priority conversion action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G4: Feasibility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6–8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Food safety, hygiene, venue, rights, staffing, consent and risk register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Name accountable owners and clear go/no-go conditions</w:t>
            </w:r>
          </w:p>
        </w:tc>
      </w:tr>
      <w:tr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G5: Production readiness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Working days 9–12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Run-of-show, asset list, training, capture and escalation plan</w:t>
            </w:r>
          </w:p>
        </w:tc>
        <w:tc>
          <w:tcPr>
            <w:tcW w:type="dxa" w:w="262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final assets, rules, terms and operations</w:t>
            </w:r>
          </w:p>
        </w:tc>
      </w:tr>
      <w:tr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G6–G7: Live &amp; learn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Client/venue-confirmed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Dashboard check, daily log, decision record and learning note</w:t>
            </w:r>
          </w:p>
        </w:tc>
        <w:tc>
          <w:tcPr>
            <w:tcW w:type="dxa" w:w="2628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Approve optimisation or close-out</w:t>
            </w:r>
          </w:p>
        </w:tc>
      </w:tr>
    </w:tbl>
    <w:p/>
    <w:p>
      <w:pPr>
        <w:pStyle w:val="Heading1"/>
      </w:pPr>
      <w:r>
        <w:t>4. Budget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ဘတ်ဂျက်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scenario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Non-tax envelope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Lean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11.3m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Minimum viable controlled pilot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Recommended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23.7m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Facilitation, cupware/sensory materials, controlled servings, registration workflow and learning-content led.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Flagship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47.2m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Expanded scale, content and operational capacity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Recommended budget workstream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Indicative share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Planning amount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Strategy, creative &amp; project direction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15%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3.6m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Experience/production operations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36%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8.5m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Staffing, training &amp; facilitation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18%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4.3m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Data, CRM &amp; reporting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8%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1.9m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Product/sampling/guest operations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13%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3.1m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Contingency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10%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MMK 2.4m</w:t>
            </w:r>
          </w:p>
        </w:tc>
      </w:tr>
    </w:tbl>
    <w:p/>
    <w:p>
      <w:pPr>
        <w:pStyle w:val="Heading1"/>
      </w:pPr>
      <w:r>
        <w:t>5. Measurement and Commercial Scenarios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စောင့်ကြည့်တိုင်းတာမှုနှင့် Scenario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5256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6"/>
              </w:rPr>
              <w:t>Directional outcome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Conservative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36 attendees / 10 return registrations</w:t>
            </w:r>
          </w:p>
        </w:tc>
      </w:tr>
      <w:tr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Base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84 attendees / 28 return registrations</w:t>
            </w:r>
          </w:p>
        </w:tc>
      </w:tr>
      <w:tr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Upside</w:t>
            </w:r>
          </w:p>
        </w:tc>
        <w:tc>
          <w:tcPr>
            <w:tcW w:type="dxa" w:w="5256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6"/>
              </w:rPr>
              <w:t>160 attendees / 58 return registrations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Primary KPIs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Masterclass attendance; Completed scorecards; Opt-in learning profiles; Return-session registrations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Data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Capture only client-approved, consented data needed for a stated follow-up; do not infer purchase intent, demographics or eligibility.</w:t>
            </w:r>
          </w:p>
        </w:tc>
      </w:tr>
      <w:tr>
        <w:tc>
          <w:tcPr>
            <w:tcW w:type="dxa" w:w="5256"/>
            <w:shd w:fill="EAF2F1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153B4D"/>
                <w:sz w:val="17"/>
              </w:rPr>
              <w:t>Scenario rule</w:t>
            </w:r>
          </w:p>
        </w:tc>
        <w:tc>
          <w:tcPr>
            <w:tcW w:type="dxa" w:w="5256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Planning assumptions only. Replace with client funnel, margin, service capacity, inventory and attribution data before commercial sign-off.</w:t>
            </w:r>
          </w:p>
        </w:tc>
      </w:tr>
    </w:tbl>
    <w:p/>
    <w:p>
      <w:pPr>
        <w:pStyle w:val="Heading1"/>
      </w:pPr>
      <w:r>
        <w:t>6. Mandatory Preflight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မဖြစ်မနေ အတည်ပြုရမည့်အချက်များ</w:t>
      </w:r>
    </w:p>
    <w:p>
      <w:pPr>
        <w:pStyle w:val="ListBullet"/>
        <w:spacing w:after="40"/>
      </w:pPr>
      <w:r>
        <w:t>Facilitator</w:t>
      </w:r>
    </w:p>
    <w:p>
      <w:pPr>
        <w:pStyle w:val="ListBullet"/>
        <w:spacing w:after="40"/>
      </w:pPr>
      <w:r>
        <w:t>Serving and allergy plan</w:t>
      </w:r>
    </w:p>
    <w:p>
      <w:pPr>
        <w:pStyle w:val="ListBullet"/>
        <w:spacing w:after="40"/>
      </w:pPr>
      <w:r>
        <w:t>Participant capacity</w:t>
      </w:r>
    </w:p>
    <w:p>
      <w:pPr>
        <w:pStyle w:val="ListBullet"/>
        <w:spacing w:after="40"/>
      </w:pPr>
      <w:r>
        <w:t>Age/category policy</w:t>
      </w:r>
    </w:p>
    <w:p>
      <w:pPr>
        <w:pStyle w:val="ListBullet"/>
        <w:spacing w:after="40"/>
      </w:pPr>
      <w:r>
        <w:t>CRM consent</w:t>
      </w:r>
    </w:p>
    <w:p>
      <w:pPr>
        <w:pStyle w:val="ListBullet"/>
        <w:spacing w:after="40"/>
      </w:pPr>
      <w:r>
        <w:t>Venue</w:t>
      </w:r>
    </w:p>
    <w:p>
      <w:pPr>
        <w:pStyle w:val="ListBullet"/>
        <w:spacing w:after="40"/>
      </w:pPr>
      <w:r>
        <w:t>No health, safety, origin, sustainability, quality, availability, price, award, restaurant, chef or partnership claim may be used without written client/legal approval.</w:t>
      </w:r>
    </w:p>
    <w:p>
      <w:pPr>
        <w:pStyle w:val="ListBullet"/>
        <w:spacing w:after="40"/>
      </w:pPr>
      <w:r>
        <w:t>All third-party visual, music, talent, recipe, venue and photography rights must be cleared before production.</w:t>
      </w:r>
    </w:p>
    <w:p>
      <w:pPr>
        <w:pStyle w:val="Heading1"/>
      </w:pPr>
      <w:r>
        <w:t>7. Evidence and Use Limits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အထောက်အထားနှင့် အသုံးပြုခွင့် ကန့်သတ်ချက်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Public source</w:t>
            </w:r>
          </w:p>
        </w:tc>
        <w:tc>
          <w:tcPr>
            <w:tcW w:type="dxa" w:w="3504"/>
            <w:shd w:fill="153B4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URL</w:t>
            </w:r>
          </w:p>
        </w:tc>
      </w:tr>
      <w:tr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FNB-S08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Ministry of Information — Traditional Food Competition and Exhibition 2026</w:t>
            </w:r>
          </w:p>
        </w:tc>
        <w:tc>
          <w:tcPr>
            <w:tcW w:type="dxa" w:w="3504"/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https://www.moi.gov.mm/moi%3Aeng/news/21664</w:t>
            </w:r>
          </w:p>
        </w:tc>
      </w:tr>
      <w:tr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FNB-S10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Inter Myanmar Channel — Exploring HORECA 2026 Myanmar</w:t>
            </w:r>
          </w:p>
        </w:tc>
        <w:tc>
          <w:tcPr>
            <w:tcW w:type="dxa" w:w="3504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https://www.youtube.com/watch?v=mbh1472c2HI</w:t>
            </w:r>
          </w:p>
        </w:tc>
      </w:tr>
    </w:tbl>
    <w:p/>
    <w:p>
      <w:r>
        <w:rPr>
          <w:b/>
        </w:rPr>
        <w:t xml:space="preserve">Evidence use: </w:t>
      </w:r>
      <w:r>
        <w:t>Sources provide public sector/event/calendar/compliance context only. They do not validate any future commercial partnership, venue, individual endorsement, performance, attendance or sales outcome.</w:t>
      </w:r>
    </w:p>
    <w:p>
      <w:pPr>
        <w:pStyle w:val="Caption"/>
      </w:pPr>
      <w:r>
        <w:t>Prepared by Manus AI for ZYNTH. Planning document only; not a contract, supplier quotation, legal advice or food-safety approval.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A6A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153B4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153B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