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A City of Small Tables: Neighbourhood Food Passport</w:t>
      </w:r>
    </w:p>
    <w:p>
      <w:r>
        <w:rPr>
          <w:rFonts w:ascii="Noto Sans Myanmar" w:hAnsi="Noto Sans Myanmar" w:eastAsia="Noto Sans Myanmar"/>
          <w:color w:val="1A6A68"/>
          <w:sz w:val="30"/>
        </w:rPr>
        <w:t>စားပွဲငယ်များ၏ မြို့ — ရပ်ကွက်အစားအစာ Passport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CMP-2026-FNB-007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Neighbourhood food-trail and local-business activation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Independent food businesses may have distinct offers but little shared mechanism to help people discover, compare and return responsibly.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Generate transparent discovery, client-approved opt-in and measurable return routes without promising sales or partnership outcomes.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Client-approved adult visitors and participating local businesses; route, safety, access, partners and operating hours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good city is remembered one small table at a time.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Proposed for November after the listed Tazaungdaing holidays; route and local-business confirmation required.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digital/print passport records client-approved visits or learning moments, then offers a voluntary preference capture and future route update.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Pick a route theme → receive rules/safety guidance → visit participating points → collect approved marks → reflect on a favourite → opt in to future routes.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16.2m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33.8m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Route planning, local liaison, accessibility/safety communications, passport technology and field moderation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69.2m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5.1m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12.2m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6.1m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2.7m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4.4m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3.4m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110 activations / 38 route completions / 12 opt-ins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260 activations / 108 completions / 42 opt-ins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500 activations / 230 completions / 98 opt-ins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Passport activations; Verified route completions; Consented preference captures; Client-approved return-route interest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Participating businesses</w:t>
      </w:r>
    </w:p>
    <w:p>
      <w:pPr>
        <w:pStyle w:val="ListBullet"/>
        <w:spacing w:after="40"/>
      </w:pPr>
      <w:r>
        <w:t>Route safety/accessibility</w:t>
      </w:r>
    </w:p>
    <w:p>
      <w:pPr>
        <w:pStyle w:val="ListBullet"/>
        <w:spacing w:after="40"/>
      </w:pPr>
      <w:r>
        <w:t>Local permissions</w:t>
      </w:r>
    </w:p>
    <w:p>
      <w:pPr>
        <w:pStyle w:val="ListBullet"/>
        <w:spacing w:after="40"/>
      </w:pPr>
      <w:r>
        <w:t>Data consent</w:t>
      </w:r>
    </w:p>
    <w:p>
      <w:pPr>
        <w:pStyle w:val="ListBullet"/>
        <w:spacing w:after="40"/>
      </w:pPr>
      <w:r>
        <w:t>Photography</w:t>
      </w:r>
    </w:p>
    <w:p>
      <w:pPr>
        <w:pStyle w:val="ListBullet"/>
        <w:spacing w:after="40"/>
      </w:pPr>
      <w:r>
        <w:t>Crisis/contact plan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FNB-S02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Xinhua — Tastes of Golden Land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https://english.news.cn/20260726/49ff2f8a557b4825a58978e89ccccc61/c.html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FNB-S07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Myanmar International TV — Tastes of the Golden Land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https://www.myanmaritv.com/news/tastes-golden-land-myanmar-traditional-food-competition-and-exhibition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FNB-S09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Global New Light of Myanmar — Myanmar Urged to Cultivate Signature Foods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https://www.gnlm.com.mm/myanmar-urged-to-cultivate-signature-foods/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