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Second Serving: Feedback-to-Return Packaging Lab</w:t>
      </w:r>
    </w:p>
    <w:p>
      <w:r>
        <w:rPr>
          <w:rFonts w:ascii="Noto Sans Myanmar" w:hAnsi="Noto Sans Myanmar" w:eastAsia="Noto Sans Myanmar"/>
          <w:color w:val="1A6A68"/>
          <w:sz w:val="30"/>
        </w:rPr>
        <w:t>ဒုတိယအကြိမ် စားသုံးမှု — Feedback-to-Return Packaging Lab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CMP-2026-FNB-010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Product-feedback pop-up and CRM reactivation programme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first trial may not become a repeat habit because brands often learn too little about the actual serving, storage, pack-opening or re-order friction.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Generate consented, structured feedback and a client-approved re-engagement route without claiming packaging, sustainability or compliance outcomes.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Existing client-approved customers or invited trial participants; product/category and data permissions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next serving begins with what the first one taught us.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Evergreen retention format; can run in December only around confirmed client operations and public-holiday guardrails.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guided pack-use review captures a priority friction and lets the participant select a future update, trial or client-approved repeat-purchase prompt.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Review an approved use moment → identify one friction → rank practical needs → receive a transparent response path → opt in or decline follow-up.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8.7m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18.4m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Customer research, bilingual feedback design, CRM segmentation, client-approved response workflow and moderation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38.2m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2.8m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6.6m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3.3m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1.5m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2.4m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1.8m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70 reviews / 10 consented follow-ups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170 reviews / 34 consented follow-ups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340 reviews / 76 consented follow-ups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Completed feedback reviews; Consented follow-up selections; Repeat-intent responses; Client-approved reactivation conversion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Customer data basis</w:t>
      </w:r>
    </w:p>
    <w:p>
      <w:pPr>
        <w:pStyle w:val="ListBullet"/>
        <w:spacing w:after="40"/>
      </w:pPr>
      <w:r>
        <w:t>Product use/storage information</w:t>
      </w:r>
    </w:p>
    <w:p>
      <w:pPr>
        <w:pStyle w:val="ListBullet"/>
        <w:spacing w:after="40"/>
      </w:pPr>
      <w:r>
        <w:t>Pack/label legal review</w:t>
      </w:r>
    </w:p>
    <w:p>
      <w:pPr>
        <w:pStyle w:val="ListBullet"/>
        <w:spacing w:after="40"/>
      </w:pPr>
      <w:r>
        <w:t>CRM message rules</w:t>
      </w:r>
    </w:p>
    <w:p>
      <w:pPr>
        <w:pStyle w:val="ListBullet"/>
        <w:spacing w:after="40"/>
      </w:pPr>
      <w:r>
        <w:t>Feedback handling</w:t>
      </w:r>
    </w:p>
    <w:p>
      <w:pPr>
        <w:pStyle w:val="ListBullet"/>
        <w:spacing w:after="40"/>
      </w:pPr>
      <w:r>
        <w:t>Customer-care owner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USDA Foreign Agricultural Service — Burma: Food Service - Hotel Restaurant Institutional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https://www.fas.usda.gov/data/gain/2025/02/burma-food-service-hotel-restaurant-institutional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Tilleke &amp; Gibbins — Myanmar-Language Labeling Required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https://www.tilleke.com/insights/myanmar-language-labeling-required-wide-range-products/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