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The First Crunch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Experiential sampling roadshow + social-first ASMR challenge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8–20 September · back-to-routine sampling window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Snack brands are easy to notice and easy to forget when shoppers are returning to routine and making fast, low-involvement decisions. The First Crunch changes one behaviour: the audience will scan, sample, record a three-second sound reaction, and redeem a store-specific offer. The commercial mechanism is sample-to-basket redemption tracked through retailer code..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56,000,000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8–20 September · back-to-routine sampling window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September reset: a practical “back to routine” moment, not an invented public holiday.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first sound and texture cue can do more work than a long product claim when the audience is choosing in seconds. DataReportal’s late-2025 planning indicators show 39.8 million internet users and 21.0 million social-media user identities in Myanmar [2]. These are contextual indicators, not unique-reach promises.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Urban students, young professionals and late-afternoon convenience shoppers aged 16–34.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“Make the first crunch impossible to scroll past.” commercially useful by moving the audience from sensory attention to a source-coded action. Single behaviour: Scan, sample, record a three-second sound reaction, and redeem a store-specific offer..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**The First Crunch** — Make the first crunch impossible to scroll past. Visual world: Macro close-ups of crisp texture, clean gold soundwave graphics, real hands, no fake food styling.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The Sound Shelf: headphones and tactile packs.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Three-Second Crunch Booth: permissioned creator capture.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Receipt-to-Reward: retailer code on a simple card.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Quiet Queue: staff prompt sampling, not hard selling.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Experiential sampling roadshow + social-first ASMR challenge. Seasonal/sponsorship rationale: September reset: a practical “back to routine” moment, not an invented public holiday. Optional co-sponsorship with a retail mall / local radio food segment; inventory TBC.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Macro close-ups of crisp texture, clean gold soundwave graphics, real hands, no fake food styling. Proposed footprint: 12m W × 8m D × 3.5m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he_first_crunch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947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he_first_crunch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47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4,200,000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4,200,000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2,240,000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3,920,000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6,440,000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2,880,000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5,040,000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8,280,000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14,720,000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2,240,000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3,920,000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6,440,000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2,880,000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5,040,000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8,280,000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3,640,000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5,980,000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1,760,000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5,060,000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1,440,000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4,140,000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1,920,000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3,360,000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3,640,000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5,980,000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32,000,000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56,000,000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92,000,000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Sample-to-basket redemption tracked through retailer code.. Placeholder average value: MMK 35,000; placeholder contribution margin: 36%.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4445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56,007,000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7112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89,611,200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8890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112,014,000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Approval ask: approve the Recommended package as a working ceiling, nominate the client decision and CRM/sales owners, release product/revenue baseline data, and schedule a 60-minute discovery plus quotation-validation workshop within five business days.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Trade Marketing Manager / Category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 Pa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Trade Marketing Manager / Category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Yummy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Trade Marketing Manager / Category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Trade Marketing Manager / Category Manager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