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First Crunch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ပထမဆုံး ကြွပ်ရွသံ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Experiential sampling roadshow + social-first ASMR challenge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Experiential sampling roadshow + social-first ASMR challenge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8–20 September · back-to-routine sampling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Snack brands are easy to notice and easy to forget when shoppers are returning to routine and making fast, low-involvement decisions. The First Crunch changes one behaviour: the audience will scan, sample, record a three-second sound reaction, and redeem a store-specific offer. The commercial mechanism is sample-to-basket redemption tracked through retailer code..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ပထမဆုံး ကြွပ်ရွသံ က audience ကို “Scan, sample, record a three-second sound reaction, and redeem a store-specific offer.” ဟူသော အပြုအမူသို့ ရွှေ့ပေးရန် ရည်ရွယ်ပါသည်။ စီးပွားရေးရလဒ်မှာ Sample-to-basket redemption tracked through retailer code.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56,000,000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8–20 September · back-to-routine sampling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September reset: a practical “back to routine” moment, not an invented public holiday.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first sound and texture cue can do more work than a long product claim when the audience is choosing in seconds.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The first sound and texture cue can do more work than a long product claim when the audience is choosing in seconds.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Urban students, young professionals and late-afternoon convenience shoppers aged 16–34.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“Make the first crunch impossible to scroll past.” commercially useful by moving the audience from sensory attention to a source-coded action. Single behaviour: Scan, sample, record a three-second sound reaction, and redeem a store-specific offer..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“Make the first crunch impossible to scroll past.” ဟူသော promise ကို sales action နှင့် ချိတ်ဆက်ရန်ဖြစ်ပါသည်။ Single behaviour: Scan, sample, record a three-second sound reaction, and redeem a store-specific offer.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First Crunch** — Make the first crunch impossible to scroll past. Visual world: Macro close-ups of crisp texture, clean gold soundwave graphics, real hands, no fake food styling.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**ပထမဆုံး ကြွပ်ရွသံ** — Make the first crunch impossible to scroll past. Visual direction: Macro close-ups of crisp texture, clean gold soundwave graphics, real hands, no fake food styling.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Sound Shelf: headphones and tactile packs.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Three-Second Crunch Booth: permissioned creator capture.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Receipt-to-Reward: retailer code on a simple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Quiet Queue: staff prompt sampling, not hard selling.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Experiential sampling roadshow + social-first ASMR challenge. Seasonal/sponsorship rationale: September reset: a practical “back to routine” moment, not an invented public holiday. Optional co-sponsorship with a retail mall / local radio food segment; inventory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September reset: a practical “back to routine” moment, not an invented public holiday.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Macro close-ups of crisp texture, clean gold soundwave graphics, real hands, no fake food styling. Proposed footprint: 12m W × 8m D × 3.5m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first_crunch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first_crunch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1,760,000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56,000,000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Sample-to-basket redemption tracked through retailer code.. Placeholder average value: MMK 35,000; placeholder contribution margin: 36%.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4445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56,007,000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7112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89,611,200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8890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112,014,000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Yummy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Trade Marketing Manager / Category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