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Calibri" w:hAnsi="Calibri" w:eastAsia="Calibri"/>
          <w:b/>
          <w:color w:val="B88A2A"/>
          <w:sz w:val="56"/>
        </w:rPr>
        <w:t>ZYNTH</w:t>
      </w:r>
    </w:p>
    <w:p>
      <w:pPr>
        <w:jc w:val="center"/>
      </w:pPr>
      <w:r>
        <w:rPr>
          <w:rFonts w:ascii="Calibri" w:hAnsi="Calibri" w:eastAsia="Calibri"/>
          <w:b/>
          <w:color w:val="12203A"/>
          <w:sz w:val="46"/>
        </w:rPr>
        <w:t>Rain, Steam, Repeat</w:t>
      </w:r>
    </w:p>
    <w:p>
      <w:pPr>
        <w:jc w:val="center"/>
      </w:pPr>
      <w:r>
        <w:rPr>
          <w:rFonts w:ascii="Calibri" w:hAnsi="Calibri" w:eastAsia="Calibri"/>
          <w:b w:val="0"/>
          <w:color w:val="2B2B2B"/>
          <w:sz w:val="20"/>
        </w:rPr>
        <w:t>Food &amp; Beverage / FMCG · Myanmar · Delivery-partner pop-up + comfort-food creator content series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Prepared 2026-08-20 · Proposed timing: 15–30 September · monsoon comfort-food window · Validity: 14 days for planning assumptions.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Concept proposal — subject to client, legal, platform, venue, supplier, talent and regulatory validation. Prices and ROI are indicative until current quotations and client data are confirmed.</w:t>
      </w:r>
    </w:p>
    <w:p>
      <w:r>
        <w:br w:type="page"/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Executive summary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Wet-weather food orders often become a price comparison rather than a branded comfort ritual. Rain, Steam, Repeat changes one behaviour: the audience will watch a short steam-and-sizzle asset, choose a comfort bundle and opt in to a next-rain reminder. The commercial mechanism is voucher redemption and repeat order within 21 days..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Recommended package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48,000,000 indicative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 + conversion + follow-up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Timing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15–30 September · monsoon comfort-food window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September monsoon planning window; weather activation only if conditions and venue safety permit.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Approval ask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working direction within 5 business 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Release RFQ and creative gate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Business context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The World Bank reports weak demand, rising logistics costs and inflation pressure in Myanmar’s current operating environment [1]. For F&amp;B, this increases the importance of a credible product proof and a short path to value, rather than broad reach alone.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Audience insight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Warmth becomes memorable when people can hear, see and share the preparation cue before they order. DataReportal’s late-2025 planning indicators show 39.8 million internet users and 21.0 million social-media user identities in Myanmar [2]. These are contextual indicators, not unique-reach promises.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Segment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Decision trigger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Exclusion / context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Yangon households, office teams and app-led food-orderers aged 22–45.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 sensory proof, relevant offer and low-friction action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No unsupported product, health, origin or price claim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trade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Measurable footfall, basket or lead pathway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Partner terms and data rules TBC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Creator / KOL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authentic sensory 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Disclosure, suitability and usage rights required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Strategic objective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Objective: make the promise “Turn a rainy pause into a small comfort ritual.” commercially useful by moving the audience from sensory attention to a source-coded action. Single behaviour: Watch a short steam-and-sizzle asset, choose a comfort bundle and opt in to a next-rain reminder..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Big idea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**Rain, Steam, Repeat** — Turn a rainy pause into a small comfort ritual. Visual world: Warm amber steam, condensation, close food sound, Burmese-first menu cues and delivery-bag visibility.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Signature moment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Audience behaviour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result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Steam Table: visible preparation with hygiene controls.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Rain Receipt: QR voucher on a weatherproof card.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Comfort Call: creator audio-first recipe cutdown.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Next-Rain CRM: opt-in only.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Recognises relevance, participates and consents to a next step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More useful intent signal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Campaign architecture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Trigger → anticipation → arrival/discovery → sensory proof → conversion → immediate follow-up → nurture → referral → measurement. Event/campaign form: Delivery-partner pop-up + comfort-food creator content series. Seasonal/sponsorship rationale: September monsoon planning window; weather activation only if conditions and venue safety permit. Delivery / e-commerce partner integration proposed; commercial terms TBC.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Stage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Sees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Does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Receives</w:t>
            </w:r>
          </w:p>
        </w:tc>
        <w:tc>
          <w:tcPr>
            <w:tcW w:type="dxa" w:w="2045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Owner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Trigger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hook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Stops/saves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Relevant 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ZYNTH/social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Proof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Tasting, sound, maker or product demo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Tries/asks/compares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Host/creator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Clear code or appointment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Redeems / books / buys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CRM/sales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Useful follow-up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Returns/refers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Value reminder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CRM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Marketing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Plan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Measure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Brand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Distinctive title, platform and bilingual visual/copy system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Recognition and approval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 / partner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Retail, lifestyle or trade angle; sponsor pitch if relevant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partner coverage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Social / content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Hero, ASMR/sensory cutdowns, creator assets, proof cards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Watch-through, saves, creator-code traffic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Paid digital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Meta/TikTok/Google testing where permitted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CPM/CPC/CPL/CPA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reactivation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Consent-based message, code and response owner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Repeat/referral/response time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Retail / sales enablement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cue card, QR/source code, handoff process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Basket/lead attribution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Post-campaign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Review, referral and case-study loop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Advocacy and learning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Experience and production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Production direction: Warm amber steam, condensation, close food sound, Burmese-first menu cues and delivery-bag visibility. Proposed footprint: 10m W × 7m D × 3m H. Requirements include venue/site approval, accessible circulation, clear allergen/hygiene information where sampling is involved, security, transport/logistics, photography/video, source-code registration and a weather/technical contingency. No permit or supplier availability is assumed.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A — SKETCH DESIGN: labelled concept plan covering entry/exit, registration, tasting/proof, content/demo, conversion, staff control, circulation, accessibility and emergency-egress assumption. This is not a construction drawing.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34613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rain_steam_repeat_SketchDesi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461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Part B — 3D DESIGN: client-viewable four-view package with hero perspective, front elevation, top/plan and branded-touchpoint detail. It is a concept render package, not an editable Blender, FBX, GLB, OBJ or CAD scene.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89320" cy="49471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20_ZYNTH_FNB_rain_steam_repeat_3DDesign_Pack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494715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Design-to-production bridge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Status / next gate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Buildable concept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zones, lighting, signage and AV direction are conceptually buildable.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Supplier engineering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Structural, fire, electrical, food hygiene and venue approval required.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time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3–8 weeks after scope, RFQ and design lock.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Budget impact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Imported equipment, venue availability, fuel, talent and fabrication complexity can materially change cost.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Talent and programme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Proposed/TBC: host or MC where physical, 3–5 carefully selected food/lifestyle creators, food stylist/chef or product demonstrator, sampling crew, photographer/videographer and technical crew. Talent is selected for audience and proof value; availability, fee, conflict, disclosure and usage rights require written confirmation.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Content calendar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Content / media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Commercial action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T−28 to T−21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Tease sensory tension; partner/sponsor pitch; creator shortlist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UTM/source-code and retail forecast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T−20 to T−7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Hero/ASMR assets, RSVP or sampling CTA, PR outreach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Lead/stock and staff routing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T−6 to T−1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FAQ, access, creator proof, retargeting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Confirmation and rehearsal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Live / 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Short clips, moderation, source-code handoff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Incident log and response SLA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T+1 to T+30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Recap, reward, review/referral, learning cutdown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Nurture and ROI closeout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Workflow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ZYNTH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Client / vendor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Discovery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tension, baseline, risk scan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 truth, sales/CRM owner, legal input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Concept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system, calendar, budgets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Approve conversion and working scope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Production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RFQ, design, content, run sheet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Venue, supplier, permits and stock sign-off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Launch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Operate, distribute, optimise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Sales response and escalation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Closeout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KPI/ROI report and learning archive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Revenue/margin confirmation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Budget proposition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All figures are date-stamped, indicative MMK planning ranges. They separate client-paid pass-through spend from ZYNTH fees. USD planning equivalent, where needed, is MMK 3,658/USD on 2026-08-18 [8]. Rates vary with venue, season, availability, imported equipment, fuel, exchange rate, talent and production complexity.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Line item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quantity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Lean / Pilot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Recommended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Impact / Flagship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61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Confidence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Strategy / account service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Research, governance, approvals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Creative / copy / transcreation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Platform, scripts, English–Myanmar hybrid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2,100,000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3,600,000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5,850,000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Design / 3D / spatial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Sketch, 3D package or digital storyboard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3,360,000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Venue / permits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Site hire, permissions, basic insurance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7,020,000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Fabrication / AV / lighting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Modular build, LED, sound, technical labour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12,480,000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Staff / registration / security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Hosts, queue, security, medical basic cover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1,960,000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3,360,000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5,460,000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Talent / creators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TBC, usage and exclusivity not included until quoted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2,520,000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4,320,000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7,020,000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Photography / video / livestream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Capture, cutdowns, deliverables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1,820,000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5,070,000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Transport / logistics / catering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Fuel, delivery, stock movement, staff meals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1,540,000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2,640,000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4,290,000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spend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Platform distribution / retail media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3,080,000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5,280,000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8,580,000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CRM / measurement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Consent, routing, dashboard, closeout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1,260,000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2,160,000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3,510,000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Agency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Integrated delivery oversight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2,880,000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4,680,000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ZYNTH fee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Depends on invoices/entity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Client / pass-through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Low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Contingency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Scope, price, fuel and availability buffer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1,820,000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3,120,000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5,070,000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Pass-through reserve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TOTAL PLANNING RANGE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Indicative MMK; not supplier quote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28,000,000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48,000,000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78,000,000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Mixed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Medium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Assumptions and procurement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Assumption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Basis / required validation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Seasonal 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holiday planning source [3]; confirm operating days and local client calendar.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Sponsorship / expo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Only a proposal until organiser quote, rights inventory, venue and audience terms are confirmed [6].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Public benchmarks partly proxy-based; run live platform test [7].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3,658/USD dated reference [8]; recheck at PO.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Taxes / levies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TBC based on supplier invoices, client entity and tax advice.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Payment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Planning convention: 50% approval / 40% pre-live / 10% closeout, subject to contract.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Exclusions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Legal fees, insurance extensions, imported equipment, talent usage extensions and changes outside signed scope.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ROI and KPI scorecard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Primary conversion: Voucher redemption and repeat order within 21 days.. Placeholder average value: MMK 48,000; placeholder contribution margin: 32%. Contribution = conversions × value × margin. Projected ROI = (contribution − investment) ÷ investment. These are scenarios, not guarantees; replace with client revenue, margin, baseline conversion and sales-cycle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Conversions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Contribution</w:t>
            </w:r>
          </w:p>
        </w:tc>
        <w:tc>
          <w:tcPr>
            <w:tcW w:type="dxa" w:w="2556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ROI vs Recommended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Conservative / break-even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3125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48,000,000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5000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76,800,000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60%</w:t>
            </w:r>
          </w:p>
        </w:tc>
      </w:tr>
      <w:tr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Upside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6250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MMK 96,000,000</w:t>
            </w:r>
          </w:p>
        </w:tc>
        <w:tc>
          <w:tcPr>
            <w:tcW w:type="dxa" w:w="2556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100%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KPI area</w:t>
            </w:r>
          </w:p>
        </w:tc>
        <w:tc>
          <w:tcPr>
            <w:tcW w:type="dxa" w:w="5112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Scorecard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Awareness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Reach, frequency, video completion, branded search proxy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Engagement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Saves, replies, sound/story completion, participation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Attendance / reach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Booked, attended, sampling/experience completion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Lead quality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Qualified rate, source code, response time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Conversion / revenue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Basket, voucher, booking, B2B meeting or repeat purchase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Retention / advocacy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Repeat, review, referral, creator-code reuse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Media / operations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CPM/CPL/CPA, on-time delivery, incident-free, accessibility and hygiene compliance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Timeline, risk and approval ask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Implementation sequence: Days 1–7 discovery/RFQ; Days 8–21 concept/design/partner lock; Days 22–45 production and media launch; Days 46–60 live/optimisation; Days 61–90 nurture, referral and closeout. Primary risks: product/health/origin claims, sampling hygiene, food-allergen handling, alcohol/age gating where applicable, venue/permit availability, weather, talent rights, fuel/logistics, platform shifts and data consent. Mitigate through written approval, an evidence file, alternative supplier/venue paths, a contingency reserve, consented capture and named escalation owners.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Approval ask: approve the Recommended package as a working ceiling, nominate the client decision and CRM/sales owners, release product/revenue baseline data, and schedule a 60-minute discovery plus quotation-validation workshop within five business days.</w:t>
      </w: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ASMR-ready pitch-outreach candidates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“ASMR-ready” is interpreted here as sensory-product brands and retailers that may benefit from responsibly produced crunch, pour, sizzle, unwrap or texture content. This is a pitch-outreach list based on public catalog/source visibility—not a claim that the organisations have commissioned ASMR work or that contacts are available.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Publicly visible candidate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Pitch angle</w:t>
            </w:r>
          </w:p>
        </w:tc>
        <w:tc>
          <w:tcPr>
            <w:tcW w:type="dxa" w:w="3408"/>
            <w:vAlign w:val="center"/>
            <w:shd w:fill="12203A"/>
          </w:tcPr>
          <w:p>
            <w:r/>
            <w:r>
              <w:rPr>
                <w:rFonts w:ascii="Calibri" w:hAnsi="Calibri" w:eastAsia="Calibri"/>
                <w:b/>
                <w:color w:val="FFFFFF"/>
                <w:sz w:val="16"/>
              </w:rPr>
              <w:t>Proposed role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Feel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Lead / E-commerce Lead / Food Service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City Selection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Lead / E-commerce Lead / Food Service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The Gyi Ga Taw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Lead / E-commerce Lead / Food Service Manager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Kan Sein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Sensory product proof, seasonal retail or creator-led conversion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16"/>
              </w:rPr>
              <w:t>Marketing Lead / E-commerce Lead / Food Service Manager</w:t>
            </w:r>
          </w:p>
        </w:tc>
      </w:tr>
    </w:tbl>
    <w:p>
      <w:pPr>
        <w:spacing w:after="40"/>
      </w:pPr>
    </w:p>
    <w:p>
      <w:pPr>
        <w:spacing w:before="180" w:after="60"/>
      </w:pPr>
      <w:r>
        <w:rPr>
          <w:rFonts w:ascii="Calibri" w:hAnsi="Calibri" w:eastAsia="Calibri"/>
          <w:b/>
          <w:color w:val="12203A"/>
          <w:sz w:val="28"/>
        </w:rPr>
        <w:t>Sources and references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[1] Myanmar Economic Monitor, June 2026: Shock Amid Fragility — https://reliefweb.int/report/myanmar/myanmar-economic-monitor-june-2026-shock-amid-fragility-enmy (published/accessed 2026-06-16). Supports: 2026 macro pressure: weak demand, fuel/logistics costs, inflation and operating uncertainty.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[2] Digital 2026: Myanmar — https://datareportal.com/reports/digital-2026-myanmar (published/accessed 2025-11-08). Supports: Late-2025 digital planning indicators: 39.8m internet users, 62.5m mobile connections and 21.0m social identities.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[3] Holiday List of 2026 — Consulate General of Myanmar, Los Angeles — https://myanmarcgla.org/index.php/holiday-list-of-2026 (published/accessed 2025-12-29). Supports: Public dates used in this planning calendar: 26–27 Oct Thadingyut, 23–24 Nov Tazaungdaing, 4 Dec National Day; client must confirm local operating calendars.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[4] Local delicacies take centre stage at Taste of the Golden Land 2026 — https://www.gnlm.com.mm/local-delicacies-take-centre-stage-at-taste-of-the-golden-land-2026-this-july/ (published/accessed 2026-07-15). Supports: Evidence of a Yangon food festival format that combines regional cuisines, brand participation, activity programmes and photo moments.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[5] City Mall Myanmar — Food category catalogue — https://www.citymall.com.mm/citymall/my/%E1%80%95%E1%80%85%E1%80%B9%E1%80%85%E1%80%8A%E1%80%BA%E1%80%B8%E1%80%A1%E1%80%99%E1%80%BB%E1%80%AD%E1%80%AF%E1%80%B8%E1%80%A1%E1%80%85%E1%80%AC%E1%80%B8%E1%80%99%E1%80%BB%E1%80%AC%E1%80%B8/%E1%80%85%E1%80%AC%E1%80%B8%E1%80%9E%E1%80%B1%E1%80%AC%E1%80%80%E1%80%BA%E1%80%80%E1%80%AF%E1%80%94%E1%80%BA%E1%80%95%E1%80%85%E1%80%B9%E1%80%85%E1%80%8A%E1%80%BA%E1%80%B8%E1%80%99%E1%80%BB%E1%80%AC%E1%80%B8/c/id01?q=%3Abestselling&amp;page=169 (published/accessed accessed 2026-08-20). Supports: Myanmar-language retail context and publicly visible food brands/products, including City Selection, Yummy, Popy, Pa Pa, Feel and Penguin.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[6] 2026 Agriculture Related Trade Shows and Conferences — USDA FAS — https://apps.fas.usda.gov/newgainapi/api/Report/DownloadReportByFileName?fileName=2026%20Agriculture%20Related%20Trade%20Shows%20and%20Conferences_Rangoon_Burma%20-%20Union%20of_BM2026-0003.pdf (published/accessed 2026-01-22). Supports: Publicly indexed 2026 food-and-beverage/retail-show opportunity; exact venue, dates and sponsorship inventory require organiser confirmation.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[7] Myanmar Advertising Costs 2026: Facebook, Google, TikTok Rate Card — https://marketingmyanmar.com/myanmar-advertising-costs-2026-facebook-google-tiktok-rate-card/ (published/accessed 2026-03-20). Supports: Indicative platform planning ranges that are expressly proxy-based where Myanmar platform data is unavailable.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9"/>
        </w:rPr>
        <w:t>[8] Yoma Bank — Currency Exchange Rates — https://www.yomabank.com/en/rates/ (published/accessed 2026-08-18). Supports: Dated planning USD/MMK reference: MMK 3,658 per USD for trade-related transactions; not a binding supplier or settlement rate.</w:t>
      </w:r>
    </w:p>
    <w:p>
      <w:pPr>
        <w:spacing w:after="100" w:line="252" w:lineRule="auto"/>
      </w:pPr>
      <w:r>
        <w:rPr>
          <w:rFonts w:ascii="Calibri" w:hAnsi="Calibri" w:eastAsia="Calibri"/>
          <w:b w:val="0"/>
          <w:color w:val="2B2B2B"/>
          <w:sz w:val="16"/>
        </w:rPr>
        <w:t>Disclaimer: This proposal is a planning document, not a supplier quotation, financial guarantee, legal opinion or permit approval. Prices, dates, sponsorship availability and ROI scenarios require validation through current local quotations, client data and relevant approvals.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color w:val="2B2B2B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B88A2A"/>
        <w:sz w:val="16"/>
      </w:rPr>
      <w:t>ZYNTH  ·  THE INTELLIGENCE OF CREATIVITY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