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Lights, Bites, Together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Thadingyut seasonal retail activation + family gifting campaign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16–27 October · Thadingyut gifting and reunion planning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Festival promotions can collapse into discount noise and overlook the family rituals that make a gift feel considered. Lights, Bites, Together changes one behaviour: the audience will build a small gift bundle, write a permissioned care note and redeem in-store with a family code. The commercial mechanism is festival bundle purchase and loyalty-member acquisition..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88,000,000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16–27 October · Thadingyut gifting and reunion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Thadingyut full-moon day and holiday window are listed for 26–27 October 2026 [3]; exact retail trading hours to be confirmed.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 food gift matters when it signals care across generations without creating extra work for the giver.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Family shoppers, young adults buying for parents and household decision-makers.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“Bring a little more care to the table.” commercially useful by moving the audience from sensory attention to a source-coded action. Single behaviour: Build a small gift bundle, write a permissioned care note and redeem in-store with a family code..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**Lights, Bites, Together** — Bring a little more care to the table. Visual world: Soft lantern light, table textures, handwritten Myanmar note motifs, premium but not religiously appropriative.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Light a Table: modular lantern product display.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Care-Note Counter: bilingual handwritten card.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Family Taste Pairing: small guided sampling.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Gifting Receipt: referral offer for the next visit.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Thadingyut seasonal retail activation + family gifting campaign. Seasonal/sponsorship rationale: Thadingyut full-moon day and holiday window are listed for 26–27 October 2026 [3]; exact retail trading hours to be confirmed. Mall, retail chain or family-entertainment sponsorship package proposed;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Soft lantern light, table textures, handwritten Myanmar note motifs, premium but not religiously appropriative. Proposed footprint: 14m W × 10m D × 4m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lights_bites_together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lights_bites_together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10,875,000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10,875,000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23,200,000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4,840,000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6,525,000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Festival bundle purchase and loyalty-member acquisition.. Placeholder average value: MMK 90,000; placeholder contribution margin: 34%.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2876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88,005,600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4602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140,821,200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5752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176,011,200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Director / Shopper Marketing Lead / Modern Trade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Director / Shopper Marketing Lead / Modern Trade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Penguin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Director / Shopper Marketing Lead / Modern Trade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Coca-Cola Pinya Beverages Myanmar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Director / Shopper Marketing Lead / Modern Trade Lead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