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First Light, First Bite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Cultural night-market activation + community food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20–24 November · Tazaungdaing cultural-market planning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Cultural-season campaigns can feel extractive when brands use the occasion as decoration instead of creating a useful shared experience. First Light, First Bite changes one behaviour: the audience will visit a maker stall, complete a taste trail, choose a community contribution and share a permitted recommendation. The commercial mechanism is taste-trail completion, retailer referral and opt-in community/loyalty lead..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98,000,000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20–24 November · Tazaungdaing cultural-market planning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Tazaungdaing holiday and full-moon day are listed for 23–24 November 2026 [3]; local permissions and cultural guidance are mandatory.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Respect is visible when a brand makes room for local makers, family time and clear community benefit. DataReportal’s late-2025 planning indicators show 39.8 million internet users and 21.0 million social-media user identities in Myanmar [2]. These are contextual indicators, not unique-reach promises.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Families, local food explorers, community makers and urban cultural-weekend visitors.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“Share the first light with something worth tasting.” commercially useful by moving the audience from sensory attention to a source-coded action. Single behaviour: Visit a maker stall, complete a taste trail, choose a community contribution and share a permitted recommendation..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**First Light, First Bite** — Share the first light with something worth tasting. Visual world: Warm light, natural material, locally legible signs, maker credit and low-volume acoustic ambience.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First Light Taste Trail.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Maker Microphone: short origin stories.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Community Bowl: transparent contribution counter.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Family Exit Card: retailer and referral cue.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Cultural night-market activation + community food programme. Seasonal/sponsorship rationale: Tazaungdaing holiday and full-moon day are listed for 23–24 November 2026 [3]; local permissions and cultural guidance are mandatory. Community-market, local-media or township-partner sponsorship proposed; permits and cultural review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Warm light, natural material, locally legible signs, maker credit and low-volume acoustic ambience. Proposed footprint: 20m W × 15m D × 4m H.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A — SKETCH DESIGN: labelled concept plan covering entry/exit, registration, tasting/proof, content/demo, conversion, staff control, circulation, accessibility and emergency-egress assumption. This is not a construction drawing.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first_light_first_bite_Sketch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B — 3D DESIGN: client-viewable four-view package with hero perspective, front elevation, top/plan and branded-touchpoint detail. It is a concept render package, not an editable Blender, FBX, GLB, OBJ or CAD scene.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947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first_light_first_bite_3DDesign_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471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Design-to-production bridge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 / next gate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Buildable concept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zones, lighting, signage and AV direction are conceptually buildable.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Supplier 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Structural, fire, electrical, food hygiene and venue approval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3–8 weeks after scope, RFQ and design lock.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Budget impact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Imported equipment, venue availability, fuel, talent and fabrication complexity can materially change cost.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4,125,000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7,350,000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4,125,000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7,350,000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6,860,000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11,200,000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4,950,000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8,820,000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8,800,000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15,680,000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25,600,000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6,860,000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11,200,000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4,950,000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8,820,000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3,575,000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6,370,000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3,025,000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5,390,000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8,800,000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6,050,000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10,780,000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17,600,000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2,475,000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4,410,000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7,200,000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3,300,000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5,880,000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3,575,000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6,370,000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55,000,000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160,000,000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Taste-trail completion, retailer referral and opt-in community/loyalty lead.. Placeholder average value: MMK 65,000; placeholder contribution margin: 35%.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4308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98,007,000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6893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156,815,750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8616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196,014,000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Approval ask: approve the Recommended package as a working ceiling, nominate the client decision and CRM/sales owners, release product/revenue baseline data, and schedule a 60-minute discovery plus quotation-validation workshop within five business days.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Feel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Director / CSR Lead / Community Partnerships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Yummy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Director / CSR Lead / Community Partnerships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 Pa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Director / CSR Lead / Community Partnerships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Shwe Kyee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Director / CSR Lead / Community Partnerships Manager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