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First Light, First Bite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အလင်းဦးနဲ့ ပထမအရသာ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Cultural night-market activation + community food programme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Cultural night-market activation + community food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20–24 November · Tazaungdaing cultural-market planning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Cultural-season campaigns can feel extractive when brands use the occasion as decoration instead of creating a useful shared experience. First Light, First Bite changes one behaviour: the audience will visit a maker stall, complete a taste trail, choose a community contribution and share a permitted recommendation. The commercial mechanism is taste-trail completion, retailer referral and opt-in community/loyalty lead..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အလင်းဦးနဲ့ ပထမအရသာ က audience ကို “Visit a maker stall, complete a taste trail, choose a community contribution and share a permitted recommendation.” ဟူသော အပြုအမူသို့ ရွှေ့ပေးရန် ရည်ရွယ်ပါသည်။ စီးပွားရေးရလဒ်မှာ Taste-trail completion, retailer referral and opt-in community/loyalty lead.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98,000,000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20–24 November · Tazaungdaing cultural-market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Tazaungdaing holiday and full-moon day are listed for 23–24 November 2026 [3]; local permissions and cultural guidance are mandatory.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Respect is visible when a brand makes room for local makers, family time and clear community benefit.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Respect is visible when a brand makes room for local makers, family time and clear community benefit.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Families, local food explorers, community makers and urban cultural-weekend visitors.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“Share the first light with something worth tasting.” commercially useful by moving the audience from sensory attention to a source-coded action. Single behaviour: Visit a maker stall, complete a taste trail, choose a community contribution and share a permitted recommendation..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“Share the first light with something worth tasting.” ဟူသော promise ကို sales action နှင့် ချိတ်ဆက်ရန်ဖြစ်ပါသည်။ Single behaviour: Visit a maker stall, complete a taste trail, choose a community contribution and share a permitted recommendation.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**First Light, First Bite** — Share the first light with something worth tasting. Visual world: Warm light, natural material, locally legible signs, maker credit and low-volume acoustic ambience.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**အလင်းဦးနဲ့ ပထမအရသာ** — Share the first light with something worth tasting. Visual direction: Warm light, natural material, locally legible signs, maker credit and low-volume acoustic ambience.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First Light Taste Trail.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Maker Microphone: short origin stories.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Community Bowl: transparent contribution counter.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Family Exit Card: retailer and referral cue.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Cultural night-market activation + community food programme. Seasonal/sponsorship rationale: Tazaungdaing holiday and full-moon day are listed for 23–24 November 2026 [3]; local permissions and cultural guidance are mandatory. Community-market, local-media or township-partner sponsorship proposed; permits and cultural review required.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Tazaungdaing holiday and full-moon day are listed for 23–24 November 2026 [3]; local permissions and cultural guidance are mandatory.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Warm light, natural material, locally legible signs, maker credit and low-volume acoustic ambience. Proposed footprint: 20m W × 15m D × 4m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first_light_first_bite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first_light_first_bite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25,600,000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5,390,000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10,780,000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17,600,000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2,475,000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6,370,000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Taste-trail completion, retailer referral and opt-in community/loyalty lead.. Placeholder average value: MMK 65,000; placeholder contribution margin: 35%.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4308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98,007,000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6893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156,815,750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8616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196,014,000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Yummy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 Pa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Shwe Kyee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Director / CSR Lead / Community Partnerships Manager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