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The Last Good Bite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CRM/reactivation campaign + retail loyalty closeout + referral mechanic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26–31 December · year-end CRM and retail reactivation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Brands spend heavily to acquire festive buyers but too often let the relationship end with a single December transaction. The Last Good Bite changes one behaviour: the audience will open a personalised year-end message, redeem a useful reward, nominate a referral and pre-select a january reminder. The commercial mechanism is repeat purchase, loyalty reactivation and referred first purchase..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34,000,000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26–31 December · year-end CRM and retail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Year-end commercial window; use client calendar, retail closures and delivery capacity rather than invented “New Year” claims.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most valuable year-end offer is one that thanks a customer for their real habits and gives them a useful reason to return in January. DataReportal’s late-2025 planning indicators show 39.8 million internet users and 21.0 million social-media user identities in Myanmar [2]. These are contextual indicators, not unique-reach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Existing loyalty members, lapsed 90-day buyers, high-frequency customers and gift purchasers.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“End with a taste worth coming back for.” commercially useful by moving the audience from sensory attention to a source-coded action. Single behaviour: Open a personalised year-end message, redeem a useful reward, nominate a referral and pre-select a January reminder..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**The Last Good Bite** — End with a taste worth coming back for. Visual world: Receipt fragments becoming a warm mosaic of ordinary shared food moments; clear value, no false urgency.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Year in Bites: personalised purchase recap.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Good Bite Reward: simple redemption.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 It On: permissioned referral.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January Table: pre-commit reminder.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CRM/reactivation campaign + retail loyalty closeout + referral mechanic. Seasonal/sponsorship rationale: Year-end commercial window; use client calendar, retail closures and delivery capacity rather than invented “New Year” claims. Retail loyalty, payment or delivery-partner contribution proposed; commercial terms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Receipt fragments becoming a warm mosaic of ordinary shared food moments; clear value, no false urgency. Proposed footprint: Digital-first; optional 3m W × 2m redemption counter.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Digital-only route: no permanent physical environment is required. The supporting visual is a UI/experience storyboard because the commercial design problem is the path from sensory content to consented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57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last_good_bite_Story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5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2,550,000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2,550,000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1,020,000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1,620,000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1,170,000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1,980,000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3,740,000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1,530,000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1,170,000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34,000,000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Repeat purchase, loyalty reactivation and referred first purchase.. Placeholder average value: MMK 45,000; placeholder contribution margin: 38%.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1989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34,011,900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3183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54,429,300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3978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68,023,800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Approval ask: approve the Recommended package as a working ceiling, nominate the client decision and CRM/sales owners, release product/revenue baseline data, and schedule a 60-minute discovery plus quotation-validation workshop within five business days.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Lead / Loyalty Manager / E-commerce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Lead / Loyalty Manager / E-commerce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Lead / Loyalty Manager / E-commerce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Penguin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Lead / Loyalty Manager / E-commerce Director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