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28A4A"/>
          <w:sz w:val="22"/>
        </w:rPr>
        <w:t>ZYNTH</w:t>
      </w:r>
      <w:r>
        <w:rPr>
          <w:sz w:val="17"/>
        </w:rPr>
        <w:t xml:space="preserve">  |  Myanmar-First Bilingual Production System</w:t>
      </w:r>
    </w:p>
    <w:p>
      <w:pPr>
        <w:pStyle w:val="Title"/>
      </w:pPr>
      <w:r>
        <w:t>Pause the Scroll</w:t>
      </w:r>
    </w:p>
    <w:p>
      <w:r>
        <w:rPr>
          <w:rFonts w:ascii="Noto Sans Myanmar" w:hAnsi="Noto Sans Myanmar" w:eastAsia="Noto Sans Myanmar"/>
          <w:color w:val="722F37"/>
          <w:sz w:val="30"/>
        </w:rPr>
        <w:t>Scroll ကိုခဏရပ်</w:t>
      </w:r>
    </w:p>
    <w:p>
      <w:r>
        <w:rPr>
          <w:b/>
          <w:color w:val="6B7280"/>
          <w:sz w:val="17"/>
        </w:rPr>
        <w:t>STANDALONE COMMERCIAL + STORYBOARD DIRECTION  •  COM-2026-BEAUTY-04  •  Beauty / Cosmetics / Myanmar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570"/>
      </w:tblGrid>
      <w:tr>
        <w:tc>
          <w:tcPr>
            <w:tcW w:type="dxa" w:w="10570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8"/>
              </w:rPr>
              <w:t>Client-ready planning proposal. All brand, product, formulation, ingredient, label, claim, product result, before/after, retailer, marketplace, creator, talent, venue, social account, media budget, permit, rights, safety and partnership details are proposed/TBC until written approval.</w:t>
            </w:r>
          </w:p>
        </w:tc>
      </w:tr>
    </w:tbl>
    <w:p>
      <w:pPr>
        <w:pStyle w:val="Heading1"/>
      </w:pPr>
      <w:r>
        <w:t>1. Film Brief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ဖիլմအကျဉ်းချုပ်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Format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short-form manifesto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Linked campaign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CMP-2026-BEAUTY-04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Commercial tension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Short-form beauty content can pressure people to seek an instant result rather than understand a routine’s permitted use.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Objective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Create a brand-safe, bilingual storytelling direction that supports an approved campaign route; no product, treatment, efficacy, safety, diagnostic, price, availability or outcome claim.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Creative territory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A pause can be more useful than a promise</w:t>
            </w:r>
          </w:p>
        </w:tc>
      </w:tr>
      <w:tr>
        <w:tc>
          <w:tcPr>
            <w:tcW w:type="dxa" w:w="5285"/>
            <w:shd w:fill="F4E5E8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2D2D2D"/>
                <w:sz w:val="17"/>
              </w:rPr>
              <w:t>Storyboard status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7"/>
              </w:rPr>
              <w:t>12-frame detailed storyboard complete</w:t>
            </w:r>
          </w:p>
        </w:tc>
      </w:tr>
    </w:tbl>
    <w:p/>
    <w:p>
      <w:pPr>
        <w:pStyle w:val="Heading1"/>
      </w:pPr>
      <w:r>
        <w:t>2. 12-Frame Detailed Storyboard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အသေးစိတ် Storyboard ၁၂ ခန်း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62"/>
        <w:gridCol w:w="1762"/>
        <w:gridCol w:w="1762"/>
        <w:gridCol w:w="1762"/>
        <w:gridCol w:w="1762"/>
        <w:gridCol w:w="1762"/>
      </w:tblGrid>
      <w:tr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Frame / time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Visual action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Camera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Audio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Text</w:t>
            </w:r>
          </w:p>
        </w:tc>
        <w:tc>
          <w:tcPr>
            <w:tcW w:type="dxa" w:w="1762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2"/>
              </w:rPr>
              <w:t>Purpose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01 | 00:00–00:03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Opening macro: a proposed/TBC beauty-world detail introduces “Pause the Scroll”.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Macro glide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room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ZYNTH BEAUTY / proposed direction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Set the atmosphere without a product claim.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02 | 00:03–00:06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human hand pauses before an ambiguous, fictional beauty cue.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Close handheld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One breath / fabric sound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question can be beautiful.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Introduce tension.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03 | 00:06–00:09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Typography names the tension in controlled, non-medical language.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graphic overlay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Minimal tonal pulse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claim. Start with clarity.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Protect claim boundary.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04 | 00:09–00:13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protagonist chooses an information card, not a product outcome.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Over-shoulder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Paper fold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Read / confirm / ask.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informed choice.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05 | 00:13–00:17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second participant adds a different perspective.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Two-shot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conversational texture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Your routine, your terms.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Add community without testimonial.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06 | 00:17–00:21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proposed/TBC brand-world cue becomes an abstract colour/texture/light composition.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Slow orbit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Warm tonal swell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Beauty without pressure.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Express creative territory.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07 | 00:21–00:25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 protected consent prompt appears on a fictional interface.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Screen insert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notification tone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Choose your next step.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consent gate.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08 | 00:25–00:29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Vertical-safe composition reframes the moment for social cutdown.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9:16 crop move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Rhythmic edit tick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For TikTok / social: asset route TBC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Signal versioning, not approval.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09 | 00:29–00:33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The human action resolves into a calm, open-ended gesture.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Medium slow motion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Room tone returns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No promise. Just a clearer path.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Resolve without efficacy.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10 | 00:33–00:37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Bilingual line appears with Myanmar title.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Graphic dissolve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Soft music rise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Scroll ကိုခဏရပ်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Land bilingual identity.</w:t>
            </w:r>
          </w:p>
        </w:tc>
      </w:tr>
      <w:tr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11 | 00:37–00:42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legal/claims placeholder panel replaces any commercial claim.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Clean end-card hold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Audio fades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Product / price / availability / claim TBC</w:t>
            </w:r>
          </w:p>
        </w:tc>
        <w:tc>
          <w:tcPr>
            <w:tcW w:type="dxa" w:w="1762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Show approval requirement.</w:t>
            </w:r>
          </w:p>
        </w:tc>
      </w:tr>
      <w:tr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12 | 00:42–00:45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Final CTA directs to approved information, booking or retailer-assistance destination.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Static end card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Single chime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Client-approved CTA required</w:t>
            </w:r>
          </w:p>
        </w:tc>
        <w:tc>
          <w:tcPr>
            <w:tcW w:type="dxa" w:w="1762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2"/>
              </w:rPr>
              <w:t>End with gated action.</w:t>
            </w:r>
          </w:p>
        </w:tc>
      </w:tr>
    </w:tbl>
    <w:p/>
    <w:p>
      <w:pPr>
        <w:pStyle w:val="Heading1"/>
      </w:pPr>
      <w:r>
        <w:t>3. Production, Social Versioning &amp; Claims Gate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ထုတ်လုပ်မှု၊ Social Versioning နှင့် Claim အတည်ပြုချက်</w:t>
      </w:r>
    </w:p>
    <w:p>
      <w:pPr>
        <w:pStyle w:val="ListBullet"/>
        <w:spacing w:after="40"/>
      </w:pPr>
      <w:r>
        <w:t>This is a creative treatment and storyboard direction, not a final shoot script, product claim, confirmed cast/location, creator agreement or costed production bid.</w:t>
      </w:r>
    </w:p>
    <w:p>
      <w:pPr>
        <w:pStyle w:val="ListBullet"/>
        <w:spacing w:after="40"/>
      </w:pPr>
      <w:r>
        <w:t>Lock final script only after client product facts, brand/legal/regulatory review, pack artwork, talent, location, music, subtitles, social/TikTok format, rights, safety, privacy, approved end-card and CTA are cleared.</w:t>
      </w:r>
    </w:p>
    <w:p>
      <w:pPr>
        <w:pStyle w:val="ListBullet"/>
        <w:spacing w:after="40"/>
      </w:pPr>
      <w:r>
        <w:t>Prepare master, vertical 9:16, square, subtitles and short cutdowns only after confirmed distribution, platform eligibility and media plan approval.</w:t>
      </w:r>
    </w:p>
    <w:p>
      <w:pPr>
        <w:pStyle w:val="ListBullet"/>
        <w:spacing w:after="40"/>
      </w:pPr>
      <w:r>
        <w:t>Use fictional/non-product visual devices unless client approves product use, hygiene, sampling, safety, rights and claims. Do not create testimonials, treatment narratives, before/after comparisons, diagnosis or efficacy claims.</w:t>
      </w:r>
    </w:p>
    <w:p>
      <w:pPr>
        <w:pStyle w:val="Heading1"/>
      </w:pPr>
      <w:r>
        <w:t>4. Production Planning Envelope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ထုတ်လုပ်မှု စီမံကိန်း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285"/>
        <w:gridCol w:w="5285"/>
      </w:tblGrid>
      <w:tr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Workstream</w:t>
            </w:r>
          </w:p>
        </w:tc>
        <w:tc>
          <w:tcPr>
            <w:tcW w:type="dxa" w:w="5285"/>
            <w:shd w:fill="2D2D2D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/>
                <w:color w:val="FFFFFF"/>
                <w:sz w:val="15"/>
              </w:rPr>
              <w:t>Planning instruction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Development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Confirm factual proposition, permitted claims, audience, CTA and content-release boundary.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Pre-production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Approve cast, creator role, location, wardrobe, props, pack artwork, product-handling plan, rights and shoot safety.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Production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Use a controlled set plan, hygiene/data/asset procedure, client sign-off and no unapproved product/medical narrative.</w:t>
            </w:r>
          </w:p>
        </w:tc>
      </w:tr>
      <w:tr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Post-production</w:t>
            </w:r>
          </w:p>
        </w:tc>
        <w:tc>
          <w:tcPr>
            <w:tcW w:type="dxa" w:w="5285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Build approved bilingual subtitles, vertical versions, music/licensing record, legal card, claim log and review gates.</w:t>
            </w:r>
          </w:p>
        </w:tc>
      </w:tr>
      <w:tr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Delivery</w:t>
            </w:r>
          </w:p>
        </w:tc>
        <w:tc>
          <w:tcPr>
            <w:tcW w:type="dxa" w:w="5285"/>
            <w:shd w:fill="FAF8F9"/>
            <w:vAlign w:val="center"/>
          </w:tcPr>
          <w:p>
            <w:pPr>
              <w:spacing w:after="0"/>
            </w:pPr>
            <w:r/>
            <w:r>
              <w:rPr>
                <w:rFonts w:ascii="Noto Sans Myanmar" w:hAnsi="Noto Sans Myanmar" w:eastAsia="Noto Sans Myanmar"/>
                <w:b w:val="0"/>
                <w:color w:val="1F2933"/>
                <w:sz w:val="15"/>
              </w:rPr>
              <w:t>Release approved masters/cutdowns only, with version status and content-rights record in the Master Tracker.</w:t>
            </w:r>
          </w:p>
        </w:tc>
      </w:tr>
    </w:tbl>
    <w:p/>
    <w:p>
      <w:pPr>
        <w:pStyle w:val="Heading1"/>
      </w:pPr>
      <w:r>
        <w:t>5. Evidence Boundary</w:t>
      </w:r>
    </w:p>
    <w:p>
      <w:r>
        <w:rPr>
          <w:rFonts w:ascii="Noto Sans Myanmar" w:hAnsi="Noto Sans Myanmar" w:eastAsia="Noto Sans Myanmar"/>
          <w:i/>
          <w:color w:val="6B7280"/>
          <w:sz w:val="17"/>
        </w:rPr>
        <w:t>အထောက်အထား ကန့်သတ်ချက်</w:t>
      </w:r>
    </w:p>
    <w:p>
      <w:r>
        <w:t>The film uses the Beauty research register as broad platform, agency-role and workflow context. It does not represent a future brand, product, skin outcome, safety/efficacy result, creator, platform entitlement, retailer, venue, clinic, event or partner as confirmed. All such details remain proposed/TBC.</w:t>
      </w:r>
    </w:p>
    <w:p>
      <w:pPr>
        <w:pStyle w:val="Caption"/>
      </w:pPr>
      <w:r>
        <w:t>Prepared by Manus AI for ZYNTH. Creative planning document only; not a filming permit, product approval, platform approval, legal clearance or commercial contract.</w:t>
      </w:r>
    </w:p>
    <w:sectPr w:rsidR="00FC693F" w:rsidRPr="0006063C" w:rsidSect="00034616">
      <w:pgSz w:w="12240" w:h="15840"/>
      <w:pgMar w:top="792" w:right="835" w:bottom="792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Myanmar" w:hAnsi="Noto Sans Myanmar" w:eastAsia="Noto Sans Myanmar"/>
      <w:color w:val="1F29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722F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Myanmar" w:hAnsi="Noto Sans Myanmar" w:eastAsia="Noto Sans Myanmar"/>
      <w:b/>
      <w:bCs/>
      <w:color w:val="2D2D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Myanmar" w:hAnsi="Noto Sans Myanmar" w:eastAsia="Noto Sans Myanmar"/>
      <w:color w:val="2D2D2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