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Return Ritual</w:t>
      </w:r>
    </w:p>
    <w:p>
      <w:r>
        <w:rPr>
          <w:rFonts w:ascii="Noto Sans Myanmar" w:hAnsi="Noto Sans Myanmar" w:eastAsia="Noto Sans Myanmar"/>
          <w:color w:val="722F37"/>
          <w:sz w:val="30"/>
        </w:rPr>
        <w:t>ပြန်လာတဲ့ Ritual</w:t>
      </w:r>
    </w:p>
    <w:p>
      <w:r>
        <w:rPr>
          <w:b/>
          <w:color w:val="6B7280"/>
          <w:sz w:val="17"/>
        </w:rPr>
        <w:t>STANDALONE COMMERCIAL + STORYBOARD DIRECTION  •  COM-2026-BEAUTY-05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aftercare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CMP-2026-BEAUTY-05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Sustainability language can become vague if a beauty brand has not confirmed what packaging, refill, return or aftercare proposition is actually available.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Care continues after the first use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“The Return Ritual”.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ပြန်လာတဲ့ Ritual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