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Language of Texture</w:t>
      </w:r>
    </w:p>
    <w:p>
      <w:r>
        <w:rPr>
          <w:rFonts w:ascii="Noto Sans Myanmar" w:hAnsi="Noto Sans Myanmar" w:eastAsia="Noto Sans Myanmar"/>
          <w:color w:val="722F37"/>
          <w:sz w:val="30"/>
        </w:rPr>
        <w:t>Texture ရဲ့ ဘာသာစကား</w:t>
      </w:r>
    </w:p>
    <w:p>
      <w:r>
        <w:rPr>
          <w:b/>
          <w:color w:val="6B7280"/>
          <w:sz w:val="17"/>
        </w:rPr>
        <w:t>STANDALONE COMMERCIAL + STORYBOARD DIRECTION  •  COM-2026-BEAUTY-07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macro sensory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CMP-2026-BEAUTY-07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texture is often shown visually, but customers may need a brand-approved, hygienic and non-medical way to explore it.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Texture is detail, not diagnosis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“The Language of Texture”.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Texture ရဲ့ ဘာသာစကား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