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Read Before Repeat</w:t>
      </w:r>
    </w:p>
    <w:p>
      <w:r>
        <w:rPr>
          <w:rFonts w:ascii="Noto Sans Myanmar" w:hAnsi="Noto Sans Myanmar" w:eastAsia="Noto Sans Myanmar"/>
          <w:color w:val="722F37"/>
          <w:sz w:val="30"/>
        </w:rPr>
        <w:t>ထပ်မလုပ်ခင် ဖတ်ပါ</w:t>
      </w:r>
    </w:p>
    <w:p>
      <w:r>
        <w:rPr>
          <w:b/>
          <w:color w:val="6B7280"/>
          <w:sz w:val="17"/>
        </w:rPr>
        <w:t>STANDALONE COMMERCIAL + STORYBOARD DIRECTION  •  COM-2026-BEAUTY-09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 literacy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CMP-2026-BEAUTY-09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Packaging can become only an aesthetic signal when users cannot easily find client-approved use, disposal, batch, label or care information.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pack can invite a clearer question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“Read Before Repeat”.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ထပ်မလုပ်ခင် ဖတ်ပါ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