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Permission to Begin Again</w:t>
      </w:r>
    </w:p>
    <w:p>
      <w:r>
        <w:rPr>
          <w:rFonts w:ascii="Noto Sans Myanmar" w:hAnsi="Noto Sans Myanmar" w:eastAsia="Noto Sans Myanmar"/>
          <w:color w:val="722F37"/>
          <w:sz w:val="30"/>
        </w:rPr>
        <w:t>ပြန်စဖို့ ခွင့်ပြုချက်</w:t>
      </w:r>
    </w:p>
    <w:p>
      <w:r>
        <w:rPr>
          <w:b/>
          <w:color w:val="6B7280"/>
          <w:sz w:val="17"/>
        </w:rPr>
        <w:t>STANDALONE COMMERCIAL + STORYBOARD DIRECTION  •  COM-2026-BEAUTY-10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CRM reactivation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CMP-2026-BEAUTY-10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Past customers may have a changing routine, but reactivation can become intrusive when consent, contact rights and product facts are unclear.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The next routine begins with permission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“Permission to Begin Again”.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ပြန်စဖို့ ခွင့်ပြုချက်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