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My Routine, My Rhythm</w:t>
      </w:r>
    </w:p>
    <w:p>
      <w:r>
        <w:rPr>
          <w:rFonts w:ascii="Noto Sans Myanmar" w:hAnsi="Noto Sans Myanmar" w:eastAsia="Noto Sans Myanmar"/>
          <w:color w:val="722F37"/>
          <w:sz w:val="30"/>
        </w:rPr>
        <w:t>ကိုယ့် Routine ကိုယ့် Rhythm</w:t>
      </w:r>
    </w:p>
    <w:p>
      <w:r>
        <w:rPr>
          <w:b/>
          <w:color w:val="6B7280"/>
          <w:sz w:val="17"/>
        </w:rPr>
        <w:t>CAMPAIGN / ACTIVATION + SOCIAL PREPARATION PROPOSAL  •  CMP-2026-BEAUTY-02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routine-building retail clinic and seven-day social participation preparation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product shelf can feel like a list of promises rather than a calm, client-verified routine conversation.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consumers considering a client-approved routine; skin profile, age and product fit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Small rituals, clearly chosen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for a client-confirmed 7-day campaign period; dates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fictional routine board helps visitors select a learning card and consent to a client-approved follow-up.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routine education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Seven daily routine prompts, static carousel recap, community reminder and client-approved link hub.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Seven 15–30 second “day in the routine” prompts; creator/content talent TBC; no before/after, diagnosis or routine-fit assertion.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Completed learning cards; opt-in reminder rate; approved appointment/retailer-information requests.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18.5m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26.7m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41.3m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4.3m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7.2m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4.3m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2.9m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