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Shade Story Studio</w:t>
      </w:r>
    </w:p>
    <w:p>
      <w:r>
        <w:rPr>
          <w:rFonts w:ascii="Noto Sans Myanmar" w:hAnsi="Noto Sans Myanmar" w:eastAsia="Noto Sans Myanmar"/>
          <w:color w:val="722F37"/>
          <w:sz w:val="30"/>
        </w:rPr>
        <w:t>အရောင်ရွေးချယ်မှုရဲ့ ဇာတ်လမ်း</w:t>
      </w:r>
    </w:p>
    <w:p>
      <w:r>
        <w:rPr>
          <w:b/>
          <w:color w:val="6B7280"/>
          <w:sz w:val="17"/>
        </w:rPr>
        <w:t>CAMPAIGN / ACTIVATION + SOCIAL PREPARATION PROPOSAL  •  CMP-2026-BEAUTY-03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shade-discovery studio, creator briefing and vertical-video capture plan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Makeup choice can become performative when shoppers feel they must copy a trend instead of describing a preferred look.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Makeup-curious consumers and client-approved creators; talent/availability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Your face, your own vocabulary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seasonal color moment; product range and date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“look-language” card turns a visitor’s selected mood into a consented appointment or approved product-information request.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self-expression and shade vocabulary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Moodboard posts, client-approved pack/visual mock-ups and creator briefing kit.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Vertical transitions built from “mood → language → choice” rather than real shade matching; creator/talent, range and rights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Creator-brief completion; content-save rate; consented studio booking or information request.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22.6m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33.9m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52.1m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5.4m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9.2m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5.4m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3.7m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3.4m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3.4m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3.4m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